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1485823" w:displacedByCustomXml="next"/>
    <w:bookmarkEnd w:id="0" w:displacedByCustomXml="next"/>
    <w:sdt>
      <w:sdtPr>
        <w:id w:val="449357882"/>
        <w:docPartObj>
          <w:docPartGallery w:val="Cover Pages"/>
          <w:docPartUnique/>
        </w:docPartObj>
      </w:sdtPr>
      <w:sdtEndPr/>
      <w:sdtContent>
        <w:p w14:paraId="3DBF5880" w14:textId="215F083A" w:rsidR="00A915EA" w:rsidRDefault="00A915EA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34D08438" wp14:editId="3E6D185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849D4FC" id="Group 149" o:spid="_x0000_s1026" style="position:absolute;margin-left:0;margin-top:0;width:8in;height:95.7pt;z-index:25165516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d34817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7A4B535C" wp14:editId="36C9F2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007B03" w14:textId="45783DD1" w:rsidR="006B7244" w:rsidRDefault="006B724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whitney@nsmhpcn.ca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A4B53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312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52007B03" w14:textId="45783DD1" w:rsidR="006B7244" w:rsidRDefault="006B724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whitney@nsmhpcn.ca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526FC3F1" wp14:editId="24BCE9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961B3" w14:textId="00CF560D" w:rsidR="006B7244" w:rsidRDefault="0069555C">
                                <w:pPr>
                                  <w:jc w:val="right"/>
                                  <w:rPr>
                                    <w:color w:val="D34817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76D35">
                                      <w:rPr>
                                        <w:b/>
                                        <w:sz w:val="44"/>
                                        <w:szCs w:val="44"/>
                                        <w:lang w:val="en-US"/>
                                      </w:rPr>
                                      <w:t>NSMHPCN – Strategic 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25DF87" w14:textId="2C5778A9" w:rsidR="006B7244" w:rsidRDefault="006B724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Strategic Plan 2018-2020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26FC3F1" id="Text Box 154" o:spid="_x0000_s1027" type="#_x0000_t202" style="position:absolute;margin-left:0;margin-top:0;width:8in;height:286.5pt;z-index:25165209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27F961B3" w14:textId="00CF560D" w:rsidR="006B7244" w:rsidRDefault="00C4701F">
                          <w:pPr>
                            <w:jc w:val="right"/>
                            <w:rPr>
                              <w:color w:val="D34817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76D35">
                                <w:rPr>
                                  <w:b/>
                                  <w:sz w:val="44"/>
                                  <w:szCs w:val="44"/>
                                  <w:lang w:val="en-US"/>
                                </w:rPr>
                                <w:t>NSMHPCN – Strategic 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525DF87" w14:textId="2C5778A9" w:rsidR="006B7244" w:rsidRDefault="006B724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Strategic Plan 2018-2020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0B2F47F" w14:textId="77777777" w:rsidR="00A915EA" w:rsidRDefault="00A915EA">
          <w:pPr>
            <w:spacing w:after="0" w:line="240" w:lineRule="auto"/>
          </w:pPr>
          <w:r>
            <w:br w:type="page"/>
          </w:r>
        </w:p>
      </w:sdtContent>
    </w:sdt>
    <w:p w14:paraId="1C5AAFB7" w14:textId="77777777" w:rsidR="00E71640" w:rsidRDefault="00E71640">
      <w:pPr>
        <w:spacing w:after="0" w:line="240" w:lineRule="auto"/>
      </w:pPr>
    </w:p>
    <w:sdt>
      <w:sdtPr>
        <w:rPr>
          <w:rFonts w:ascii="Segoe UI Light" w:eastAsiaTheme="minorHAnsi" w:hAnsi="Segoe UI Light" w:cstheme="minorBidi"/>
          <w:color w:val="auto"/>
          <w:sz w:val="22"/>
          <w:szCs w:val="22"/>
          <w:lang w:val="en-CA"/>
        </w:rPr>
        <w:id w:val="20023847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13B175" w14:textId="77777777" w:rsidR="00E71640" w:rsidRDefault="00E71640">
          <w:pPr>
            <w:pStyle w:val="TOCHeading"/>
          </w:pPr>
          <w:r>
            <w:t>Table of Contents</w:t>
          </w:r>
        </w:p>
        <w:p w14:paraId="348BB543" w14:textId="09D1AE8B" w:rsidR="004A4120" w:rsidRDefault="00E7164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92429" w:history="1">
            <w:r w:rsidR="004414B1">
              <w:rPr>
                <w:rStyle w:val="Hyperlink"/>
                <w:noProof/>
              </w:rPr>
              <w:t>Vision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_Toc482792429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2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6EB5AA6C" w14:textId="4753762E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0" w:history="1">
            <w:r w:rsidR="004414B1">
              <w:rPr>
                <w:rStyle w:val="Hyperlink"/>
                <w:noProof/>
              </w:rPr>
              <w:t>Mission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_Toc482792430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2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4A57DE54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1" w:history="1">
            <w:r w:rsidR="004A4120" w:rsidRPr="00F92579">
              <w:rPr>
                <w:rStyle w:val="Hyperlink"/>
                <w:noProof/>
              </w:rPr>
              <w:t>Values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_Toc482792431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2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27F92857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2" w:history="1">
            <w:r w:rsidR="004A4120" w:rsidRPr="00F92579">
              <w:rPr>
                <w:rStyle w:val="Hyperlink"/>
                <w:noProof/>
              </w:rPr>
              <w:t>Philosophy of Care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_Toc482792432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3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1C8D53B2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3" w:history="1">
            <w:r w:rsidR="004A4120" w:rsidRPr="00F92579">
              <w:rPr>
                <w:rStyle w:val="Hyperlink"/>
                <w:noProof/>
              </w:rPr>
              <w:t>Obstacles Summary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_Toc482792433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4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74D08F14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4" w:history="1">
            <w:r w:rsidR="004A4120" w:rsidRPr="00F92579">
              <w:rPr>
                <w:rStyle w:val="Hyperlink"/>
                <w:noProof/>
              </w:rPr>
              <w:t>Strategies for the Organization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_Toc482792434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4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000DF40C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5" w:history="1">
            <w:r w:rsidR="004A4120" w:rsidRPr="00F92579">
              <w:rPr>
                <w:rStyle w:val="Hyperlink"/>
                <w:noProof/>
              </w:rPr>
              <w:t>Move into Action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_Toc482792435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6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3258148D" w14:textId="77777777" w:rsidR="004A4120" w:rsidRDefault="0069555C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6" w:history="1">
            <w:r w:rsidR="004A4120" w:rsidRPr="00F92579">
              <w:rPr>
                <w:rStyle w:val="Hyperlink"/>
                <w:noProof/>
              </w:rPr>
              <w:t>Resources to Support the Plan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_Toc482792436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6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781934CB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7" w:history="1">
            <w:r w:rsidR="004A4120" w:rsidRPr="00F92579">
              <w:rPr>
                <w:rStyle w:val="Hyperlink"/>
                <w:noProof/>
              </w:rPr>
              <w:t>References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_Toc482792437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7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7A0B59D6" w14:textId="77777777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8" w:history="1">
            <w:r w:rsidR="004A4120" w:rsidRPr="00F92579">
              <w:rPr>
                <w:rStyle w:val="Hyperlink"/>
                <w:noProof/>
              </w:rPr>
              <w:t>Appendix 1 – Practical Vision Chart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_Toc482792438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0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20825DF5" w14:textId="05C63A51" w:rsidR="004A4120" w:rsidRDefault="0069555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eastAsia="en-CA"/>
            </w:rPr>
          </w:pPr>
          <w:hyperlink w:anchor="_Toc482792439" w:history="1">
            <w:r w:rsidR="004A4120" w:rsidRPr="00F92579">
              <w:rPr>
                <w:rStyle w:val="Hyperlink"/>
                <w:noProof/>
              </w:rPr>
              <w:t>Appendix 2 – Proposed Action Plan for 201</w:t>
            </w:r>
            <w:r w:rsidR="004414B1">
              <w:rPr>
                <w:rStyle w:val="Hyperlink"/>
                <w:noProof/>
              </w:rPr>
              <w:t>8</w:t>
            </w:r>
            <w:r w:rsidR="004A4120" w:rsidRPr="00F92579">
              <w:rPr>
                <w:rStyle w:val="Hyperlink"/>
                <w:noProof/>
              </w:rPr>
              <w:t>/1</w:t>
            </w:r>
            <w:r w:rsidR="004414B1">
              <w:rPr>
                <w:rStyle w:val="Hyperlink"/>
                <w:noProof/>
              </w:rPr>
              <w:t>9</w:t>
            </w:r>
            <w:r w:rsidR="004A4120">
              <w:rPr>
                <w:noProof/>
                <w:webHidden/>
              </w:rPr>
              <w:tab/>
            </w:r>
            <w:r w:rsidR="004A4120">
              <w:rPr>
                <w:noProof/>
                <w:webHidden/>
              </w:rPr>
              <w:fldChar w:fldCharType="begin"/>
            </w:r>
            <w:r w:rsidR="004A4120">
              <w:rPr>
                <w:noProof/>
                <w:webHidden/>
              </w:rPr>
              <w:instrText xml:space="preserve"> PAGEREF _Toc482792439 \h </w:instrText>
            </w:r>
            <w:r w:rsidR="004A4120">
              <w:rPr>
                <w:noProof/>
                <w:webHidden/>
              </w:rPr>
            </w:r>
            <w:r w:rsidR="004A4120">
              <w:rPr>
                <w:noProof/>
                <w:webHidden/>
              </w:rPr>
              <w:fldChar w:fldCharType="separate"/>
            </w:r>
            <w:r w:rsidR="004A4120">
              <w:rPr>
                <w:noProof/>
                <w:webHidden/>
              </w:rPr>
              <w:t>1</w:t>
            </w:r>
            <w:r w:rsidR="004A4120">
              <w:rPr>
                <w:noProof/>
                <w:webHidden/>
              </w:rPr>
              <w:fldChar w:fldCharType="end"/>
            </w:r>
          </w:hyperlink>
        </w:p>
        <w:p w14:paraId="445B332E" w14:textId="77777777" w:rsidR="00E71640" w:rsidRDefault="00E71640">
          <w:r>
            <w:rPr>
              <w:b/>
              <w:bCs/>
              <w:noProof/>
            </w:rPr>
            <w:fldChar w:fldCharType="end"/>
          </w:r>
        </w:p>
      </w:sdtContent>
    </w:sdt>
    <w:p w14:paraId="79C747DF" w14:textId="77777777" w:rsidR="00E71640" w:rsidRDefault="00E71640">
      <w:pPr>
        <w:spacing w:after="0" w:line="240" w:lineRule="auto"/>
      </w:pPr>
      <w:r>
        <w:br w:type="page"/>
      </w:r>
    </w:p>
    <w:p w14:paraId="6D1D1FE2" w14:textId="3723E3F6" w:rsidR="00805322" w:rsidRDefault="000B71E5" w:rsidP="00805322">
      <w:pPr>
        <w:pStyle w:val="Heading1"/>
      </w:pPr>
      <w:bookmarkStart w:id="1" w:name="_Toc482792429"/>
      <w:r>
        <w:lastRenderedPageBreak/>
        <w:t>Vision</w:t>
      </w:r>
      <w:bookmarkEnd w:id="1"/>
    </w:p>
    <w:p w14:paraId="402C3AD6" w14:textId="77777777" w:rsidR="00B4522C" w:rsidRDefault="00B4522C" w:rsidP="00B4522C">
      <w:r>
        <w:t xml:space="preserve">Communities, patients, families and healthcare </w:t>
      </w:r>
      <w:r w:rsidRPr="001F1FAA">
        <w:rPr>
          <w:noProof/>
        </w:rPr>
        <w:t>providers</w:t>
      </w:r>
      <w:r>
        <w:t xml:space="preserve"> working together to improve  palliative care for everyone </w:t>
      </w:r>
      <w:r>
        <w:rPr>
          <w:rStyle w:val="FootnoteReference"/>
        </w:rPr>
        <w:footnoteReference w:id="1"/>
      </w:r>
      <w:r>
        <w:t>across all sectors.</w:t>
      </w:r>
    </w:p>
    <w:p w14:paraId="29B2570B" w14:textId="77777777" w:rsidR="00B4522C" w:rsidRDefault="000B71E5" w:rsidP="00E71640">
      <w:pPr>
        <w:pStyle w:val="Heading1"/>
      </w:pPr>
      <w:bookmarkStart w:id="2" w:name="_Toc482792430"/>
      <w:r>
        <w:t>Mission</w:t>
      </w:r>
    </w:p>
    <w:p w14:paraId="3D8405B9" w14:textId="4F0C4412" w:rsidR="00B4522C" w:rsidRDefault="00B4522C" w:rsidP="00B4522C">
      <w:r>
        <w:t xml:space="preserve">Providing a compassionate, and </w:t>
      </w:r>
      <w:r w:rsidRPr="001F1FAA">
        <w:rPr>
          <w:noProof/>
        </w:rPr>
        <w:t>holistic</w:t>
      </w:r>
      <w:r>
        <w:t xml:space="preserve"> palliative approach to care as the cornerstone of living and dying well.  Engaging, educating and serving communities with advance care planning, palliative care and grief and bereavement support </w:t>
      </w:r>
      <w:r>
        <w:rPr>
          <w:rStyle w:val="FootnoteReference"/>
        </w:rPr>
        <w:footnoteReference w:id="2"/>
      </w:r>
      <w:r>
        <w:t xml:space="preserve">.  </w:t>
      </w:r>
    </w:p>
    <w:p w14:paraId="7AB6C7D5" w14:textId="40569EEF" w:rsidR="00B4522C" w:rsidRDefault="00B4522C" w:rsidP="00B4522C">
      <w:r>
        <w:t>In the next three years, we are committed to accomplishing the following goals</w:t>
      </w:r>
      <w:r>
        <w:rPr>
          <w:rStyle w:val="FootnoteReference"/>
        </w:rPr>
        <w:footnoteReference w:id="3"/>
      </w:r>
      <w:r>
        <w:t xml:space="preserve"> in support of our vision:</w:t>
      </w:r>
    </w:p>
    <w:p w14:paraId="511D32C2" w14:textId="26D92A0B" w:rsidR="00B4522C" w:rsidRDefault="00B4522C" w:rsidP="00B4522C">
      <w:pPr>
        <w:pStyle w:val="ListParagraph"/>
        <w:numPr>
          <w:ilvl w:val="0"/>
          <w:numId w:val="6"/>
        </w:numPr>
      </w:pPr>
      <w:r>
        <w:t xml:space="preserve">Strengthen and support a </w:t>
      </w:r>
      <w:r w:rsidRPr="001F1FAA">
        <w:rPr>
          <w:noProof/>
        </w:rPr>
        <w:t>well</w:t>
      </w:r>
      <w:r>
        <w:rPr>
          <w:noProof/>
        </w:rPr>
        <w:t>-</w:t>
      </w:r>
      <w:r w:rsidRPr="001F1FAA">
        <w:rPr>
          <w:noProof/>
        </w:rPr>
        <w:t>defined</w:t>
      </w:r>
      <w:r>
        <w:t xml:space="preserve"> integrated care framework</w:t>
      </w:r>
    </w:p>
    <w:p w14:paraId="68312A65" w14:textId="77777777" w:rsidR="00B4522C" w:rsidRDefault="00B4522C" w:rsidP="00B4522C">
      <w:pPr>
        <w:pStyle w:val="ListParagraph"/>
        <w:numPr>
          <w:ilvl w:val="0"/>
          <w:numId w:val="6"/>
        </w:numPr>
      </w:pPr>
      <w:r>
        <w:t>Expand and provide support for literacy around death</w:t>
      </w:r>
    </w:p>
    <w:p w14:paraId="41345070" w14:textId="77777777" w:rsidR="00B4522C" w:rsidRDefault="00B4522C" w:rsidP="00B4522C">
      <w:pPr>
        <w:pStyle w:val="ListParagraph"/>
        <w:numPr>
          <w:ilvl w:val="0"/>
          <w:numId w:val="6"/>
        </w:numPr>
      </w:pPr>
      <w:r>
        <w:t>Promote and advocate for early advanced care planning</w:t>
      </w:r>
    </w:p>
    <w:p w14:paraId="0EFEBA2C" w14:textId="4E07A65F" w:rsidR="00B4522C" w:rsidRDefault="00B4522C" w:rsidP="00B4522C">
      <w:pPr>
        <w:pStyle w:val="ListParagraph"/>
        <w:numPr>
          <w:ilvl w:val="0"/>
          <w:numId w:val="6"/>
        </w:numPr>
      </w:pPr>
      <w:r>
        <w:t xml:space="preserve">Communicate and demonstrate our role presence and value in the community </w:t>
      </w:r>
    </w:p>
    <w:p w14:paraId="33045771" w14:textId="7F36BD22" w:rsidR="00B4522C" w:rsidRDefault="00B4522C" w:rsidP="00B4522C">
      <w:pPr>
        <w:pStyle w:val="ListParagraph"/>
        <w:numPr>
          <w:ilvl w:val="0"/>
          <w:numId w:val="6"/>
        </w:numPr>
      </w:pPr>
      <w:r>
        <w:t>Improve understanding of the choice of care in our community</w:t>
      </w:r>
    </w:p>
    <w:p w14:paraId="69B84B3C" w14:textId="77777777" w:rsidR="00805322" w:rsidRDefault="00805322" w:rsidP="00805322">
      <w:pPr>
        <w:pStyle w:val="Heading1"/>
      </w:pPr>
      <w:bookmarkStart w:id="3" w:name="_Toc482792431"/>
      <w:bookmarkEnd w:id="2"/>
      <w:r>
        <w:t>Values</w:t>
      </w:r>
      <w:bookmarkEnd w:id="3"/>
    </w:p>
    <w:p w14:paraId="5E2B216D" w14:textId="77777777" w:rsidR="00805322" w:rsidRDefault="00805322" w:rsidP="00805322">
      <w:r>
        <w:t xml:space="preserve">The following values </w:t>
      </w:r>
      <w:r>
        <w:rPr>
          <w:rStyle w:val="FootnoteReference"/>
        </w:rPr>
        <w:footnoteReference w:id="4"/>
      </w:r>
      <w:r w:rsidR="0070006B">
        <w:t xml:space="preserve"> will guide the organization:</w:t>
      </w:r>
      <w:r>
        <w:t xml:space="preserve"> </w:t>
      </w:r>
    </w:p>
    <w:p w14:paraId="37AE2A44" w14:textId="77777777" w:rsidR="00805322" w:rsidRDefault="00805322" w:rsidP="00805322">
      <w:pPr>
        <w:ind w:left="720"/>
      </w:pPr>
      <w:r w:rsidRPr="00C029D5">
        <w:rPr>
          <w:b/>
        </w:rPr>
        <w:t>Respect</w:t>
      </w:r>
      <w:r>
        <w:t xml:space="preserve">: We recognize the inherent worth of every person and their choices. </w:t>
      </w:r>
    </w:p>
    <w:p w14:paraId="2F983A1C" w14:textId="6078FB17" w:rsidR="00805322" w:rsidRDefault="00805322" w:rsidP="00805322">
      <w:pPr>
        <w:ind w:left="720"/>
      </w:pPr>
      <w:r w:rsidRPr="00C029D5">
        <w:rPr>
          <w:b/>
        </w:rPr>
        <w:t>Collaboration</w:t>
      </w:r>
      <w:r>
        <w:t xml:space="preserve">: </w:t>
      </w:r>
      <w:r w:rsidR="006C4BBA">
        <w:t>We operate as a unified team with our partners</w:t>
      </w:r>
      <w:r w:rsidR="00B4522C">
        <w:t xml:space="preserve"> and promote agencies and communities working together to provide optimum care and service </w:t>
      </w:r>
      <w:r>
        <w:t xml:space="preserve">by demonstrating respectful behavior, open communication, </w:t>
      </w:r>
      <w:r w:rsidRPr="001F1FAA">
        <w:rPr>
          <w:noProof/>
        </w:rPr>
        <w:t>professionalism</w:t>
      </w:r>
      <w:r w:rsidR="001F1FAA">
        <w:rPr>
          <w:noProof/>
        </w:rPr>
        <w:t>,</w:t>
      </w:r>
      <w:r>
        <w:t xml:space="preserve"> and accountability.</w:t>
      </w:r>
    </w:p>
    <w:p w14:paraId="7DFA21FB" w14:textId="42CCE113" w:rsidR="00805322" w:rsidRDefault="00805322" w:rsidP="00805322">
      <w:pPr>
        <w:ind w:left="720"/>
      </w:pPr>
      <w:r>
        <w:rPr>
          <w:b/>
        </w:rPr>
        <w:t>Diversity:</w:t>
      </w:r>
      <w:r>
        <w:t xml:space="preserve"> We </w:t>
      </w:r>
      <w:r w:rsidR="006C4BBA">
        <w:t>honor</w:t>
      </w:r>
      <w:r w:rsidR="00B4522C">
        <w:t xml:space="preserve"> </w:t>
      </w:r>
      <w:r>
        <w:t xml:space="preserve">diversity and </w:t>
      </w:r>
      <w:r w:rsidR="006C4BBA">
        <w:t>promote</w:t>
      </w:r>
      <w:r w:rsidR="00B4522C">
        <w:t xml:space="preserve"> i</w:t>
      </w:r>
      <w:r>
        <w:t xml:space="preserve">nclusiveness. </w:t>
      </w:r>
    </w:p>
    <w:p w14:paraId="7FF683E7" w14:textId="3F76020B" w:rsidR="00805322" w:rsidRDefault="00805322" w:rsidP="00805322">
      <w:pPr>
        <w:ind w:left="720"/>
      </w:pPr>
      <w:r w:rsidRPr="00C029D5">
        <w:rPr>
          <w:b/>
        </w:rPr>
        <w:t>Integrity</w:t>
      </w:r>
      <w:r>
        <w:t xml:space="preserve">: We are honest and transparent.  </w:t>
      </w:r>
      <w:r>
        <w:br/>
      </w:r>
    </w:p>
    <w:p w14:paraId="2F2F4083" w14:textId="77777777" w:rsidR="00805322" w:rsidRDefault="00E71640" w:rsidP="00805322">
      <w:pPr>
        <w:pStyle w:val="Heading1"/>
      </w:pPr>
      <w:bookmarkStart w:id="4" w:name="_Toc482792432"/>
      <w:r>
        <w:lastRenderedPageBreak/>
        <w:t>P</w:t>
      </w:r>
      <w:r w:rsidR="00805322">
        <w:t>hilosophy of Care</w:t>
      </w:r>
      <w:bookmarkEnd w:id="4"/>
    </w:p>
    <w:p w14:paraId="42CAA45A" w14:textId="77777777" w:rsidR="00E71640" w:rsidRPr="00A42395" w:rsidRDefault="00E71640" w:rsidP="00E71640">
      <w:pPr>
        <w:spacing w:after="0" w:line="240" w:lineRule="auto"/>
        <w:rPr>
          <w:b/>
          <w:u w:val="single"/>
        </w:rPr>
      </w:pPr>
      <w:r w:rsidRPr="00A42395">
        <w:rPr>
          <w:b/>
          <w:u w:val="single"/>
        </w:rPr>
        <w:t xml:space="preserve">We believe that </w:t>
      </w:r>
      <w:r w:rsidRPr="001F1FAA">
        <w:rPr>
          <w:b/>
          <w:noProof/>
          <w:u w:val="single"/>
        </w:rPr>
        <w:t>high</w:t>
      </w:r>
      <w:r w:rsidR="001F1FAA">
        <w:rPr>
          <w:b/>
          <w:noProof/>
          <w:u w:val="single"/>
        </w:rPr>
        <w:t>-</w:t>
      </w:r>
      <w:r w:rsidRPr="001F1FAA">
        <w:rPr>
          <w:b/>
          <w:noProof/>
          <w:u w:val="single"/>
        </w:rPr>
        <w:t>quality</w:t>
      </w:r>
      <w:r w:rsidRPr="00A42395">
        <w:rPr>
          <w:b/>
          <w:u w:val="single"/>
        </w:rPr>
        <w:t xml:space="preserve"> palliative care includes:</w:t>
      </w:r>
    </w:p>
    <w:p w14:paraId="730FE476" w14:textId="408F323D" w:rsidR="00E71640" w:rsidRDefault="00E71640" w:rsidP="00E716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culture that perceives death and dying as a </w:t>
      </w:r>
      <w:r w:rsidR="00890628">
        <w:t xml:space="preserve">normal </w:t>
      </w:r>
      <w:r w:rsidR="00B4522C">
        <w:t>occurrence</w:t>
      </w:r>
      <w:r w:rsidR="00E365CA">
        <w:t xml:space="preserve"> that requires </w:t>
      </w:r>
      <w:r>
        <w:t>planning</w:t>
      </w:r>
    </w:p>
    <w:p w14:paraId="43BC85EB" w14:textId="1379C5B6" w:rsidR="00E71640" w:rsidRDefault="00E71640" w:rsidP="00E71640">
      <w:pPr>
        <w:pStyle w:val="ListParagraph"/>
        <w:numPr>
          <w:ilvl w:val="0"/>
          <w:numId w:val="3"/>
        </w:numPr>
        <w:spacing w:after="0" w:line="240" w:lineRule="auto"/>
      </w:pPr>
      <w:r>
        <w:t>The early identification of individuals who will benefit from an early palliative approach to care</w:t>
      </w:r>
    </w:p>
    <w:p w14:paraId="38168FF3" w14:textId="5A18E8D7" w:rsidR="00B4522C" w:rsidRDefault="00B4522C" w:rsidP="00E7164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Collaboration in all sectors between formal and informal care providers, and community partners.  </w:t>
      </w:r>
    </w:p>
    <w:p w14:paraId="41A29E13" w14:textId="7095F840" w:rsidR="00B4522C" w:rsidRDefault="00B4522C" w:rsidP="00E71640">
      <w:pPr>
        <w:pStyle w:val="ListParagraph"/>
        <w:numPr>
          <w:ilvl w:val="0"/>
          <w:numId w:val="3"/>
        </w:numPr>
        <w:spacing w:after="0" w:line="240" w:lineRule="auto"/>
      </w:pPr>
      <w:r>
        <w:t>Equitable access to all</w:t>
      </w:r>
    </w:p>
    <w:p w14:paraId="5CEC5A5E" w14:textId="77777777" w:rsidR="00B4522C" w:rsidRDefault="00B4522C" w:rsidP="00C76D35">
      <w:pPr>
        <w:pStyle w:val="ListParagraph"/>
        <w:spacing w:after="0" w:line="240" w:lineRule="auto"/>
        <w:ind w:left="1446"/>
      </w:pPr>
    </w:p>
    <w:p w14:paraId="6063D69E" w14:textId="77777777" w:rsidR="00E71640" w:rsidRPr="00A42395" w:rsidRDefault="00E71640" w:rsidP="00E71640">
      <w:pPr>
        <w:spacing w:after="0" w:line="240" w:lineRule="auto"/>
        <w:rPr>
          <w:b/>
          <w:u w:val="single"/>
        </w:rPr>
      </w:pPr>
      <w:r w:rsidRPr="00A42395">
        <w:rPr>
          <w:b/>
          <w:u w:val="single"/>
        </w:rPr>
        <w:t>Our role in this is:</w:t>
      </w:r>
    </w:p>
    <w:p w14:paraId="718F3DC7" w14:textId="75FA156D" w:rsidR="00E71640" w:rsidRDefault="00E71640">
      <w:pPr>
        <w:pStyle w:val="ListParagraph"/>
        <w:numPr>
          <w:ilvl w:val="0"/>
          <w:numId w:val="4"/>
        </w:numPr>
        <w:spacing w:after="0" w:line="240" w:lineRule="auto"/>
        <w:ind w:left="1418"/>
      </w:pPr>
      <w:r>
        <w:t xml:space="preserve">Collaborating with </w:t>
      </w:r>
      <w:r w:rsidR="00B4522C">
        <w:t xml:space="preserve">care partners, </w:t>
      </w:r>
      <w:r>
        <w:t xml:space="preserve">community members, volunteers, </w:t>
      </w:r>
      <w:r w:rsidR="00890628">
        <w:t xml:space="preserve">informal care providers </w:t>
      </w:r>
      <w:r>
        <w:t>and the medical community</w:t>
      </w:r>
      <w:r w:rsidR="00EC19DA">
        <w:t xml:space="preserve">, particularly the regional palliative care network to assist the roll out of their plan to improve palliative care in North Simcoe Muskoka </w:t>
      </w:r>
    </w:p>
    <w:p w14:paraId="1F41E71E" w14:textId="0BA738F3" w:rsidR="00E71640" w:rsidRDefault="00E71640" w:rsidP="00750CA0">
      <w:pPr>
        <w:pStyle w:val="ListParagraph"/>
        <w:numPr>
          <w:ilvl w:val="0"/>
          <w:numId w:val="4"/>
        </w:numPr>
        <w:spacing w:after="0" w:line="240" w:lineRule="auto"/>
        <w:ind w:left="1418"/>
      </w:pPr>
      <w:r>
        <w:t>Providing education (health promotion) about A</w:t>
      </w:r>
      <w:r w:rsidR="00B4522C">
        <w:t xml:space="preserve">dvance </w:t>
      </w:r>
      <w:r>
        <w:t>C</w:t>
      </w:r>
      <w:r w:rsidR="00B4522C">
        <w:t xml:space="preserve">are </w:t>
      </w:r>
      <w:r>
        <w:t>P</w:t>
      </w:r>
      <w:r w:rsidR="00B4522C">
        <w:t>lanning</w:t>
      </w:r>
      <w:r>
        <w:t xml:space="preserve"> and how to support friends and families with life-limiting illnesses and bereaved family members</w:t>
      </w:r>
      <w:r w:rsidR="00B4522C">
        <w:t xml:space="preserve"> </w:t>
      </w:r>
      <w:r w:rsidR="003B7AB1">
        <w:t xml:space="preserve">though the linkage with the </w:t>
      </w:r>
      <w:r w:rsidR="002D25A6">
        <w:t>H</w:t>
      </w:r>
      <w:r w:rsidR="003B7AB1">
        <w:t xml:space="preserve">ospice Orillia program </w:t>
      </w:r>
      <w:r w:rsidR="002D25A6">
        <w:t>and other services</w:t>
      </w:r>
    </w:p>
    <w:p w14:paraId="3E4C2C10" w14:textId="4AA688FF" w:rsidR="00E71640" w:rsidRDefault="00E71640" w:rsidP="00750CA0">
      <w:pPr>
        <w:pStyle w:val="ListParagraph"/>
        <w:numPr>
          <w:ilvl w:val="0"/>
          <w:numId w:val="4"/>
        </w:numPr>
        <w:spacing w:after="0" w:line="240" w:lineRule="auto"/>
        <w:ind w:left="1418"/>
      </w:pPr>
      <w:r>
        <w:t xml:space="preserve">Educating service providers about </w:t>
      </w:r>
      <w:r w:rsidR="003B7AB1">
        <w:t>a</w:t>
      </w:r>
      <w:r>
        <w:t xml:space="preserve"> palliative approach to care and pain &amp; symptom management </w:t>
      </w:r>
    </w:p>
    <w:p w14:paraId="0B432434" w14:textId="77777777" w:rsidR="008160AB" w:rsidRDefault="00E71640" w:rsidP="00750CA0">
      <w:pPr>
        <w:pStyle w:val="ListParagraph"/>
        <w:numPr>
          <w:ilvl w:val="0"/>
          <w:numId w:val="4"/>
        </w:numPr>
        <w:spacing w:after="0" w:line="240" w:lineRule="auto"/>
        <w:ind w:left="1418"/>
      </w:pPr>
      <w:r>
        <w:t>Supporting individuals with unique or complex needs and those transitioning between locations of care</w:t>
      </w:r>
    </w:p>
    <w:p w14:paraId="29D08FD2" w14:textId="2BCC5DF0" w:rsidR="008160AB" w:rsidRDefault="00E71640" w:rsidP="00750CA0">
      <w:pPr>
        <w:pStyle w:val="ListParagraph"/>
        <w:numPr>
          <w:ilvl w:val="0"/>
          <w:numId w:val="4"/>
        </w:numPr>
        <w:spacing w:after="0" w:line="240" w:lineRule="auto"/>
        <w:ind w:left="1418"/>
      </w:pPr>
      <w:r>
        <w:t xml:space="preserve">Supporting HPC service delivery at a sub-regional level by identifying </w:t>
      </w:r>
      <w:r w:rsidRPr="001F1FAA">
        <w:rPr>
          <w:noProof/>
        </w:rPr>
        <w:t>specific</w:t>
      </w:r>
      <w:r w:rsidR="00BB2CF2">
        <w:t>, non-duplicate</w:t>
      </w:r>
      <w:r>
        <w:t xml:space="preserve"> roles for the Hospice Palliative Care NSM team</w:t>
      </w:r>
    </w:p>
    <w:p w14:paraId="34F0E08B" w14:textId="3FEC77AA" w:rsidR="00805322" w:rsidRDefault="00BB2CF2" w:rsidP="00C76D35">
      <w:pPr>
        <w:pStyle w:val="ListParagraph"/>
        <w:numPr>
          <w:ilvl w:val="0"/>
          <w:numId w:val="4"/>
        </w:numPr>
        <w:spacing w:after="0" w:line="240" w:lineRule="auto"/>
        <w:ind w:left="1418"/>
      </w:pPr>
      <w:r>
        <w:t>S</w:t>
      </w:r>
      <w:r w:rsidR="00E71640">
        <w:t xml:space="preserve">haring current, </w:t>
      </w:r>
      <w:r w:rsidR="003B7AB1">
        <w:t>best practice evidence in hospice palliative care to build capacity</w:t>
      </w:r>
      <w:r w:rsidR="002D25A6">
        <w:t xml:space="preserve"> u</w:t>
      </w:r>
      <w:r w:rsidR="003B7AB1">
        <w:t xml:space="preserve">tilizing current resources and guiding documents. </w:t>
      </w:r>
      <w:r w:rsidR="00805322">
        <w:t xml:space="preserve">HPC </w:t>
      </w:r>
      <w:r>
        <w:t>requires</w:t>
      </w:r>
      <w:r w:rsidR="00805322">
        <w:t xml:space="preserve"> strong partnerships in the community. Our role is to participate in the community planning and service delivery model that exists in each sub-region of North Simcoe Muskoka and</w:t>
      </w:r>
      <w:r w:rsidR="00CA7AB1">
        <w:t>,</w:t>
      </w:r>
      <w:r w:rsidR="00805322">
        <w:t xml:space="preserve"> when necessary, take a leadership role in coordinating services.</w:t>
      </w:r>
    </w:p>
    <w:p w14:paraId="17E304E6" w14:textId="77777777" w:rsidR="00E71640" w:rsidRDefault="00E71640">
      <w:pPr>
        <w:spacing w:after="0" w:line="240" w:lineRule="auto"/>
      </w:pPr>
      <w:r>
        <w:br w:type="page"/>
      </w:r>
    </w:p>
    <w:p w14:paraId="7B3F9B35" w14:textId="77777777" w:rsidR="006237A8" w:rsidRDefault="006237A8" w:rsidP="00A92C32">
      <w:pPr>
        <w:pStyle w:val="Heading1"/>
      </w:pPr>
      <w:bookmarkStart w:id="5" w:name="_Toc482792433"/>
      <w:r>
        <w:lastRenderedPageBreak/>
        <w:t>Obstacles Summary</w:t>
      </w:r>
      <w:bookmarkEnd w:id="5"/>
    </w:p>
    <w:p w14:paraId="52322E2C" w14:textId="77777777" w:rsidR="006237A8" w:rsidRDefault="00E71640" w:rsidP="006237A8">
      <w:r>
        <w:t xml:space="preserve">The following </w:t>
      </w:r>
      <w:r w:rsidR="0098071D">
        <w:t xml:space="preserve">set of </w:t>
      </w:r>
      <w:r w:rsidR="0098071D" w:rsidRPr="001F1FAA">
        <w:rPr>
          <w:noProof/>
        </w:rPr>
        <w:t>obstacles</w:t>
      </w:r>
      <w:r w:rsidR="0098071D">
        <w:t xml:space="preserve"> was</w:t>
      </w:r>
      <w:r>
        <w:t xml:space="preserve"> identified as important factors to </w:t>
      </w:r>
      <w:r w:rsidRPr="001F1FAA">
        <w:rPr>
          <w:noProof/>
        </w:rPr>
        <w:t>take into account</w:t>
      </w:r>
      <w:r>
        <w:t xml:space="preserve"> when building strategies to guide the future of the organization.</w:t>
      </w:r>
    </w:p>
    <w:p w14:paraId="6A2239CE" w14:textId="597C4075" w:rsidR="006237A8" w:rsidRDefault="006237A8" w:rsidP="00A915EA">
      <w:pPr>
        <w:pStyle w:val="ListParagraph"/>
        <w:numPr>
          <w:ilvl w:val="0"/>
          <w:numId w:val="5"/>
        </w:numPr>
        <w:spacing w:line="360" w:lineRule="auto"/>
      </w:pPr>
      <w:r>
        <w:t xml:space="preserve">Unclear expectations create </w:t>
      </w:r>
      <w:r w:rsidRPr="00E71640">
        <w:rPr>
          <w:b/>
          <w:u w:val="single"/>
        </w:rPr>
        <w:t>overlapping roles</w:t>
      </w:r>
      <w:r>
        <w:t xml:space="preserve"> </w:t>
      </w:r>
    </w:p>
    <w:p w14:paraId="3E107C49" w14:textId="590EB567" w:rsidR="006237A8" w:rsidRDefault="006237A8" w:rsidP="00A915EA">
      <w:pPr>
        <w:pStyle w:val="ListParagraph"/>
        <w:numPr>
          <w:ilvl w:val="0"/>
          <w:numId w:val="5"/>
        </w:numPr>
        <w:spacing w:line="360" w:lineRule="auto"/>
      </w:pPr>
      <w:r>
        <w:t xml:space="preserve">PHIPA </w:t>
      </w:r>
      <w:r w:rsidR="00645C5C">
        <w:t>creates</w:t>
      </w:r>
      <w:r w:rsidR="00BB2CF2">
        <w:t xml:space="preserve"> barriers </w:t>
      </w:r>
      <w:r w:rsidR="00CA7AB1">
        <w:t>to</w:t>
      </w:r>
      <w:r w:rsidR="00BB2CF2">
        <w:t xml:space="preserve"> </w:t>
      </w:r>
      <w:r>
        <w:t>communica</w:t>
      </w:r>
      <w:r w:rsidR="00BA6491">
        <w:t>tion</w:t>
      </w:r>
      <w:r w:rsidR="00E2309D">
        <w:t>, solutions to navigate these obstacles is essential</w:t>
      </w:r>
      <w:r w:rsidR="00BA6491">
        <w:t xml:space="preserve"> </w:t>
      </w:r>
      <w:r>
        <w:t xml:space="preserve"> </w:t>
      </w:r>
      <w:r w:rsidR="00B47B0C">
        <w:t xml:space="preserve"> </w:t>
      </w:r>
    </w:p>
    <w:p w14:paraId="66690B62" w14:textId="77777777" w:rsidR="00B47B0C" w:rsidRPr="007C04E1" w:rsidRDefault="00BA6491" w:rsidP="00A915EA">
      <w:pPr>
        <w:pStyle w:val="ListParagraph"/>
        <w:numPr>
          <w:ilvl w:val="0"/>
          <w:numId w:val="5"/>
        </w:numPr>
        <w:spacing w:line="360" w:lineRule="auto"/>
        <w:rPr>
          <w:b/>
          <w:i/>
        </w:rPr>
      </w:pPr>
      <w:r>
        <w:t xml:space="preserve">Limited </w:t>
      </w:r>
      <w:r w:rsidR="006237A8">
        <w:t>human resources</w:t>
      </w:r>
      <w:r w:rsidR="00CA7AB1">
        <w:t xml:space="preserve"> combined with increasing community demand</w:t>
      </w:r>
      <w:r w:rsidR="006237A8">
        <w:t xml:space="preserve"> results in</w:t>
      </w:r>
      <w:r w:rsidR="00CA7AB1">
        <w:t xml:space="preserve"> an</w:t>
      </w:r>
      <w:r w:rsidR="006237A8">
        <w:t xml:space="preserve"> </w:t>
      </w:r>
      <w:r>
        <w:t>increas</w:t>
      </w:r>
      <w:r w:rsidR="00CA7AB1">
        <w:t>ing</w:t>
      </w:r>
      <w:r>
        <w:t xml:space="preserve"> workload</w:t>
      </w:r>
      <w:r w:rsidR="006237A8">
        <w:t xml:space="preserve">   </w:t>
      </w:r>
      <w:r w:rsidR="00E2309D">
        <w:t>for both informal and formal care providers</w:t>
      </w:r>
    </w:p>
    <w:p w14:paraId="1061E444" w14:textId="20F99E9B" w:rsidR="00DA3D2D" w:rsidRDefault="00E2309D" w:rsidP="00C76D35">
      <w:pPr>
        <w:pStyle w:val="ListParagraph"/>
        <w:numPr>
          <w:ilvl w:val="0"/>
          <w:numId w:val="5"/>
        </w:numPr>
      </w:pPr>
      <w:r>
        <w:t xml:space="preserve">Limited use of the surprise question </w:t>
      </w:r>
      <w:r w:rsidR="00DA3D2D">
        <w:t xml:space="preserve">(would you be surprised if end of life would occur in the next 12 months) </w:t>
      </w:r>
      <w:r>
        <w:t>hinders the ability to do timely purposeful ACP</w:t>
      </w:r>
    </w:p>
    <w:p w14:paraId="23465A15" w14:textId="78521ACD" w:rsidR="00DA3D2D" w:rsidRPr="00DA3D2D" w:rsidRDefault="00DA3D2D" w:rsidP="00C76D35">
      <w:pPr>
        <w:pStyle w:val="ListParagraph"/>
        <w:numPr>
          <w:ilvl w:val="0"/>
          <w:numId w:val="5"/>
        </w:numPr>
      </w:pPr>
      <w:r>
        <w:t xml:space="preserve">Current societal values impact </w:t>
      </w:r>
      <w:r w:rsidRPr="00C76D35">
        <w:t>our ability to normalize death and provide a palliative approach to care earlier in the illness trajectory</w:t>
      </w:r>
    </w:p>
    <w:p w14:paraId="019780ED" w14:textId="77777777" w:rsidR="006237A8" w:rsidRDefault="00E71640" w:rsidP="00E71640">
      <w:pPr>
        <w:pStyle w:val="Heading1"/>
      </w:pPr>
      <w:bookmarkStart w:id="6" w:name="_Toc482792434"/>
      <w:r>
        <w:t>Strategies for the Organization</w:t>
      </w:r>
      <w:bookmarkEnd w:id="6"/>
    </w:p>
    <w:p w14:paraId="2C39AC43" w14:textId="4BB3EA8C" w:rsidR="008160AB" w:rsidRDefault="00A92C32" w:rsidP="006237A8">
      <w:r>
        <w:t xml:space="preserve">Our strategies for the next three years will support </w:t>
      </w:r>
      <w:r w:rsidR="007C04E1">
        <w:t xml:space="preserve">natural </w:t>
      </w:r>
      <w:r>
        <w:t>communities</w:t>
      </w:r>
      <w:r w:rsidR="007C04E1">
        <w:t xml:space="preserve"> (i</w:t>
      </w:r>
      <w:r w:rsidR="00DA3D2D">
        <w:t>.</w:t>
      </w:r>
      <w:r w:rsidR="007C04E1">
        <w:t>e</w:t>
      </w:r>
      <w:r w:rsidR="00DA3D2D">
        <w:t>.</w:t>
      </w:r>
      <w:r w:rsidR="007C04E1">
        <w:t xml:space="preserve"> work places; faith communities; neighbourhoods)</w:t>
      </w:r>
      <w:r>
        <w:t xml:space="preserve">, health care </w:t>
      </w:r>
      <w:r w:rsidRPr="001F1FAA">
        <w:rPr>
          <w:noProof/>
        </w:rPr>
        <w:t>providers</w:t>
      </w:r>
      <w:r>
        <w:t xml:space="preserve"> and families. </w:t>
      </w:r>
    </w:p>
    <w:p w14:paraId="3B92479B" w14:textId="6A3BCE87" w:rsidR="00C94BC3" w:rsidRPr="00AE2B3C" w:rsidRDefault="00C94BC3" w:rsidP="00C94BC3">
      <w:pPr>
        <w:rPr>
          <w:b/>
          <w:u w:val="single"/>
        </w:rPr>
      </w:pPr>
      <w:r>
        <w:rPr>
          <w:b/>
          <w:u w:val="single"/>
        </w:rPr>
        <w:t xml:space="preserve">Strategy: </w:t>
      </w:r>
      <w:r w:rsidR="004A6D2B">
        <w:rPr>
          <w:b/>
          <w:u w:val="single"/>
        </w:rPr>
        <w:t>Re</w:t>
      </w:r>
      <w:r w:rsidR="00DA3D2D">
        <w:rPr>
          <w:b/>
          <w:u w:val="single"/>
        </w:rPr>
        <w:t xml:space="preserve">fresh </w:t>
      </w:r>
      <w:r w:rsidR="004A6D2B">
        <w:rPr>
          <w:b/>
          <w:u w:val="single"/>
        </w:rPr>
        <w:t xml:space="preserve">the </w:t>
      </w:r>
      <w:r w:rsidR="00750CA0">
        <w:rPr>
          <w:b/>
          <w:u w:val="single"/>
        </w:rPr>
        <w:t>identity</w:t>
      </w:r>
      <w:r w:rsidR="004A6D2B">
        <w:rPr>
          <w:b/>
          <w:u w:val="single"/>
        </w:rPr>
        <w:t xml:space="preserve"> of the organization </w:t>
      </w:r>
    </w:p>
    <w:p w14:paraId="75D1CC4D" w14:textId="228D0AA2" w:rsidR="00C94BC3" w:rsidRDefault="00C94BC3" w:rsidP="00C76D35">
      <w:pPr>
        <w:pStyle w:val="ListParagraph"/>
        <w:ind w:left="0"/>
      </w:pPr>
      <w:r>
        <w:t xml:space="preserve">We will work in the community to </w:t>
      </w:r>
      <w:r w:rsidR="00DA3D2D">
        <w:t>communicate o</w:t>
      </w:r>
      <w:r>
        <w:t>ur</w:t>
      </w:r>
      <w:r w:rsidR="00DA3D2D">
        <w:t xml:space="preserve"> </w:t>
      </w:r>
      <w:r>
        <w:t>role</w:t>
      </w:r>
      <w:r w:rsidR="00DA3D2D">
        <w:t xml:space="preserve"> o</w:t>
      </w:r>
      <w:r>
        <w:t>ur work will include the following activities</w:t>
      </w:r>
      <w:r w:rsidR="00DA3D2D">
        <w:t>:</w:t>
      </w:r>
    </w:p>
    <w:p w14:paraId="19524767" w14:textId="03AA7F61" w:rsidR="00C94BC3" w:rsidRDefault="00C94BC3" w:rsidP="004A6D2B">
      <w:pPr>
        <w:pStyle w:val="ListParagraph"/>
        <w:numPr>
          <w:ilvl w:val="0"/>
          <w:numId w:val="5"/>
        </w:numPr>
      </w:pPr>
      <w:r>
        <w:t>Communicat</w:t>
      </w:r>
      <w:r w:rsidR="00CA6205">
        <w:t>e</w:t>
      </w:r>
      <w:r>
        <w:t xml:space="preserve"> our mission</w:t>
      </w:r>
      <w:r w:rsidR="00CA6205">
        <w:t>, vision</w:t>
      </w:r>
      <w:r>
        <w:t xml:space="preserve"> and role </w:t>
      </w:r>
      <w:r w:rsidR="00927BBD">
        <w:t xml:space="preserve"> </w:t>
      </w:r>
      <w:r>
        <w:t xml:space="preserve"> </w:t>
      </w:r>
    </w:p>
    <w:p w14:paraId="048A0952" w14:textId="3EE56A6E" w:rsidR="004A6D2B" w:rsidRDefault="00927BBD" w:rsidP="004A6D2B">
      <w:pPr>
        <w:pStyle w:val="ListParagraph"/>
        <w:numPr>
          <w:ilvl w:val="0"/>
          <w:numId w:val="5"/>
        </w:numPr>
      </w:pPr>
      <w:r>
        <w:t>Evaluat</w:t>
      </w:r>
      <w:r w:rsidR="00CA6205">
        <w:t>e</w:t>
      </w:r>
      <w:r>
        <w:t xml:space="preserve"> the communication strategy </w:t>
      </w:r>
      <w:r w:rsidR="007C04E1">
        <w:t>and amend</w:t>
      </w:r>
      <w:r w:rsidR="00CA6205">
        <w:t xml:space="preserve"> it as </w:t>
      </w:r>
      <w:r w:rsidR="00A03958">
        <w:t>required</w:t>
      </w:r>
    </w:p>
    <w:p w14:paraId="3E944C88" w14:textId="0230CEAA" w:rsidR="0078734C" w:rsidRDefault="00D66943" w:rsidP="004A6D2B">
      <w:pPr>
        <w:rPr>
          <w:b/>
          <w:u w:val="single"/>
        </w:rPr>
      </w:pPr>
      <w:r>
        <w:rPr>
          <w:b/>
          <w:u w:val="single"/>
        </w:rPr>
        <w:t xml:space="preserve">Strategy: </w:t>
      </w:r>
      <w:r w:rsidR="0078734C">
        <w:rPr>
          <w:b/>
          <w:u w:val="single"/>
        </w:rPr>
        <w:t>Clarify and promote the role of the HPC Nurse Consultant:</w:t>
      </w:r>
    </w:p>
    <w:p w14:paraId="5A48CAA8" w14:textId="58D325C0" w:rsidR="004A6D2B" w:rsidRDefault="00E44019" w:rsidP="004A6D2B">
      <w:r>
        <w:t xml:space="preserve">We will clarify, and promote </w:t>
      </w:r>
      <w:r w:rsidR="00DA3D2D">
        <w:t>the Nurse Consultant role</w:t>
      </w:r>
      <w:r>
        <w:t xml:space="preserve">.  </w:t>
      </w:r>
      <w:r w:rsidR="004A6D2B">
        <w:t>Our work will include the following activities.</w:t>
      </w:r>
    </w:p>
    <w:p w14:paraId="11A53666" w14:textId="1C4A767E" w:rsidR="00DA3D2D" w:rsidRDefault="00DA3D2D" w:rsidP="00A63906">
      <w:pPr>
        <w:pStyle w:val="ListParagraph"/>
        <w:numPr>
          <w:ilvl w:val="0"/>
          <w:numId w:val="5"/>
        </w:numPr>
      </w:pPr>
      <w:r>
        <w:t>Re-establish role of Clinical Manager</w:t>
      </w:r>
    </w:p>
    <w:p w14:paraId="6FB08C59" w14:textId="69480F94" w:rsidR="00DA3D2D" w:rsidRDefault="00DA3D2D" w:rsidP="00A63906">
      <w:pPr>
        <w:pStyle w:val="ListParagraph"/>
        <w:numPr>
          <w:ilvl w:val="0"/>
          <w:numId w:val="5"/>
        </w:numPr>
      </w:pPr>
      <w:r>
        <w:t>Evaluate current state and develop future role statement regarding core services</w:t>
      </w:r>
    </w:p>
    <w:p w14:paraId="64E95716" w14:textId="43878313" w:rsidR="00DA3D2D" w:rsidRDefault="00DA3D2D" w:rsidP="00A63906">
      <w:pPr>
        <w:pStyle w:val="ListParagraph"/>
        <w:numPr>
          <w:ilvl w:val="0"/>
          <w:numId w:val="5"/>
        </w:numPr>
      </w:pPr>
      <w:r>
        <w:t xml:space="preserve">Communicate revised role statement of </w:t>
      </w:r>
      <w:r w:rsidR="00E44019">
        <w:t xml:space="preserve">the </w:t>
      </w:r>
      <w:r w:rsidR="00A03958">
        <w:t>Nurse consultant in each sub-regional area</w:t>
      </w:r>
    </w:p>
    <w:p w14:paraId="3A390C24" w14:textId="45CA7956" w:rsidR="00E53C68" w:rsidRDefault="00E56BA6">
      <w:pPr>
        <w:pStyle w:val="ListParagraph"/>
        <w:numPr>
          <w:ilvl w:val="0"/>
          <w:numId w:val="5"/>
        </w:numPr>
      </w:pPr>
      <w:r>
        <w:t>C</w:t>
      </w:r>
      <w:r w:rsidR="00E53C68">
        <w:t>lari</w:t>
      </w:r>
      <w:r w:rsidR="00DA3D2D">
        <w:t>f</w:t>
      </w:r>
      <w:r w:rsidR="00E53C68">
        <w:t>y the target audience of the 24x7 on call service</w:t>
      </w:r>
      <w:r w:rsidR="00DA3D2D">
        <w:t xml:space="preserve"> and promote </w:t>
      </w:r>
      <w:r w:rsidR="00E53C68">
        <w:t>the 24x7 on call service</w:t>
      </w:r>
    </w:p>
    <w:p w14:paraId="6DF02372" w14:textId="77777777" w:rsidR="00E56BA6" w:rsidRDefault="00E56BA6" w:rsidP="00C76D35">
      <w:pPr>
        <w:pStyle w:val="ListParagraph"/>
      </w:pPr>
    </w:p>
    <w:p w14:paraId="24677D03" w14:textId="3BA4F892" w:rsidR="007844A8" w:rsidRDefault="007844A8" w:rsidP="004A6D2B"/>
    <w:p w14:paraId="420BD6FB" w14:textId="7896F93D" w:rsidR="00DA3D2D" w:rsidRDefault="00DA3D2D" w:rsidP="004A6D2B"/>
    <w:p w14:paraId="52E49AA3" w14:textId="77777777" w:rsidR="00DA3D2D" w:rsidRDefault="00DA3D2D" w:rsidP="004A6D2B"/>
    <w:p w14:paraId="3133A692" w14:textId="705FF8E2" w:rsidR="008160AB" w:rsidRPr="004A6D2B" w:rsidRDefault="008160AB" w:rsidP="006237A8">
      <w:pPr>
        <w:rPr>
          <w:b/>
          <w:u w:val="single"/>
        </w:rPr>
      </w:pPr>
      <w:r w:rsidRPr="004A6D2B">
        <w:rPr>
          <w:b/>
          <w:u w:val="single"/>
        </w:rPr>
        <w:lastRenderedPageBreak/>
        <w:t xml:space="preserve">Strategy: </w:t>
      </w:r>
      <w:r w:rsidR="00927BBD" w:rsidRPr="00927BBD">
        <w:rPr>
          <w:b/>
          <w:u w:val="single"/>
        </w:rPr>
        <w:t xml:space="preserve"> Community </w:t>
      </w:r>
      <w:r w:rsidR="007C04E1">
        <w:rPr>
          <w:b/>
          <w:u w:val="single"/>
        </w:rPr>
        <w:t>Engagement</w:t>
      </w:r>
      <w:r w:rsidR="00927BBD" w:rsidRPr="00927BBD">
        <w:rPr>
          <w:b/>
          <w:u w:val="single"/>
        </w:rPr>
        <w:t xml:space="preserve"> </w:t>
      </w:r>
      <w:r w:rsidR="00DA3D2D">
        <w:rPr>
          <w:b/>
          <w:u w:val="single"/>
        </w:rPr>
        <w:t>m</w:t>
      </w:r>
      <w:r w:rsidR="00927BBD" w:rsidRPr="00927BBD">
        <w:rPr>
          <w:b/>
          <w:u w:val="single"/>
        </w:rPr>
        <w:t>odel</w:t>
      </w:r>
      <w:r w:rsidR="00F351D2">
        <w:rPr>
          <w:b/>
          <w:u w:val="single"/>
        </w:rPr>
        <w:t xml:space="preserve"> development</w:t>
      </w:r>
      <w:r w:rsidR="00AE7586">
        <w:rPr>
          <w:b/>
          <w:u w:val="single"/>
        </w:rPr>
        <w:t xml:space="preserve">, the </w:t>
      </w:r>
      <w:r w:rsidR="00DA3D2D">
        <w:rPr>
          <w:b/>
          <w:u w:val="single"/>
        </w:rPr>
        <w:t>H</w:t>
      </w:r>
      <w:r w:rsidR="00AE7586">
        <w:rPr>
          <w:b/>
          <w:u w:val="single"/>
        </w:rPr>
        <w:t xml:space="preserve">ospice Orillia program </w:t>
      </w:r>
    </w:p>
    <w:p w14:paraId="2589F7A6" w14:textId="3571CE16" w:rsidR="008160AB" w:rsidRDefault="00C94BC3" w:rsidP="006237A8">
      <w:r>
        <w:t>We will participate and support</w:t>
      </w:r>
      <w:r w:rsidR="007C04E1">
        <w:t xml:space="preserve"> </w:t>
      </w:r>
      <w:r>
        <w:t>communities</w:t>
      </w:r>
      <w:r w:rsidR="00203CDE">
        <w:t xml:space="preserve"> </w:t>
      </w:r>
      <w:r>
        <w:t xml:space="preserve">in </w:t>
      </w:r>
      <w:r w:rsidR="00F351D2">
        <w:t>providing a palliative approach to care</w:t>
      </w:r>
      <w:r>
        <w:t>.  Our work will include the following activities.</w:t>
      </w:r>
    </w:p>
    <w:p w14:paraId="38EE4F28" w14:textId="09D32AB6" w:rsidR="00296D8F" w:rsidRDefault="00296D8F" w:rsidP="004A6D2B">
      <w:pPr>
        <w:pStyle w:val="ListParagraph"/>
        <w:numPr>
          <w:ilvl w:val="0"/>
          <w:numId w:val="5"/>
        </w:numPr>
      </w:pPr>
      <w:r>
        <w:t>Develop</w:t>
      </w:r>
      <w:r w:rsidR="007C04E1">
        <w:t>ing</w:t>
      </w:r>
      <w:r>
        <w:t xml:space="preserve"> a Terms of Reference for </w:t>
      </w:r>
      <w:r w:rsidR="007C04E1">
        <w:t>community engagement</w:t>
      </w:r>
      <w:r>
        <w:t xml:space="preserve"> outlining what this means, key areas of focus, </w:t>
      </w:r>
      <w:r w:rsidR="007C04E1">
        <w:t>and k</w:t>
      </w:r>
      <w:r>
        <w:t>ey principles</w:t>
      </w:r>
    </w:p>
    <w:p w14:paraId="295F7FAF" w14:textId="77777777" w:rsidR="008160AB" w:rsidRDefault="008160AB" w:rsidP="004A6D2B">
      <w:pPr>
        <w:pStyle w:val="ListParagraph"/>
        <w:numPr>
          <w:ilvl w:val="0"/>
          <w:numId w:val="5"/>
        </w:numPr>
      </w:pPr>
      <w:r>
        <w:t>Supporting engagement in the dialogue and use of Advance Care Planning</w:t>
      </w:r>
    </w:p>
    <w:p w14:paraId="4FB2215C" w14:textId="77777777" w:rsidR="008160AB" w:rsidRDefault="00296D8F" w:rsidP="004A6D2B">
      <w:pPr>
        <w:pStyle w:val="ListParagraph"/>
        <w:numPr>
          <w:ilvl w:val="0"/>
          <w:numId w:val="5"/>
        </w:numPr>
      </w:pPr>
      <w:r>
        <w:t>Supporting com</w:t>
      </w:r>
      <w:r w:rsidR="008160AB">
        <w:t xml:space="preserve">munities to </w:t>
      </w:r>
      <w:r>
        <w:t>be</w:t>
      </w:r>
      <w:r w:rsidR="008160AB">
        <w:t xml:space="preserve"> involved in informal</w:t>
      </w:r>
      <w:r w:rsidR="00AE7586">
        <w:t xml:space="preserve"> and formal</w:t>
      </w:r>
      <w:r w:rsidR="008160AB">
        <w:t xml:space="preserve"> palliative and bereavement care </w:t>
      </w:r>
    </w:p>
    <w:p w14:paraId="7FB69684" w14:textId="0D01CF6B" w:rsidR="00C94BC3" w:rsidRDefault="00C94BC3" w:rsidP="00373176">
      <w:pPr>
        <w:pStyle w:val="ListParagraph"/>
        <w:numPr>
          <w:ilvl w:val="0"/>
          <w:numId w:val="5"/>
        </w:numPr>
      </w:pPr>
      <w:r>
        <w:t>Providing education</w:t>
      </w:r>
      <w:r w:rsidR="00373176">
        <w:t xml:space="preserve"> to</w:t>
      </w:r>
      <w:r>
        <w:t xml:space="preserve"> informal care providers</w:t>
      </w:r>
      <w:r w:rsidR="007C04E1">
        <w:t xml:space="preserve"> and community groups</w:t>
      </w:r>
      <w:r>
        <w:t xml:space="preserve"> throughout North Simcoe </w:t>
      </w:r>
      <w:r w:rsidR="007C04E1">
        <w:t>Muskoka through</w:t>
      </w:r>
      <w:r>
        <w:t xml:space="preserve"> </w:t>
      </w:r>
      <w:r w:rsidR="00373176">
        <w:t>social</w:t>
      </w:r>
      <w:r w:rsidR="00DA3D2D">
        <w:t xml:space="preserve"> </w:t>
      </w:r>
      <w:r w:rsidR="00373176">
        <w:t>and traditional me</w:t>
      </w:r>
      <w:r w:rsidR="007C04E1">
        <w:t>dia</w:t>
      </w:r>
    </w:p>
    <w:p w14:paraId="1AB94CD4" w14:textId="197EFA24" w:rsidR="00373176" w:rsidRDefault="00296D8F" w:rsidP="00C94BC3">
      <w:pPr>
        <w:pStyle w:val="ListParagraph"/>
        <w:numPr>
          <w:ilvl w:val="0"/>
          <w:numId w:val="5"/>
        </w:numPr>
      </w:pPr>
      <w:r>
        <w:t>Participating in Indigenous Cultural Safety Training</w:t>
      </w:r>
      <w:r w:rsidR="007364AD">
        <w:t xml:space="preserve">; include teachings in our work with First Nations, Métis and Inuit (FNMI) populations; </w:t>
      </w:r>
    </w:p>
    <w:p w14:paraId="51C512B1" w14:textId="77777777" w:rsidR="00C94BC3" w:rsidRDefault="00C94BC3" w:rsidP="004A6D2B">
      <w:pPr>
        <w:pStyle w:val="ListParagraph"/>
      </w:pPr>
    </w:p>
    <w:p w14:paraId="106AFA8D" w14:textId="5978C004" w:rsidR="00A63906" w:rsidRDefault="00C94BC3" w:rsidP="00A92C32">
      <w:r w:rsidRPr="004A6D2B">
        <w:rPr>
          <w:b/>
          <w:u w:val="single"/>
        </w:rPr>
        <w:t xml:space="preserve">Strategy: </w:t>
      </w:r>
      <w:r w:rsidR="00BE074B" w:rsidRPr="004A6D2B">
        <w:rPr>
          <w:b/>
          <w:u w:val="single"/>
        </w:rPr>
        <w:t>Provid</w:t>
      </w:r>
      <w:r w:rsidR="00DA3D2D">
        <w:rPr>
          <w:b/>
          <w:u w:val="single"/>
        </w:rPr>
        <w:t xml:space="preserve">e education, </w:t>
      </w:r>
      <w:r w:rsidR="00AE7586">
        <w:rPr>
          <w:b/>
          <w:u w:val="single"/>
        </w:rPr>
        <w:t>mentoring</w:t>
      </w:r>
      <w:r w:rsidR="00DA3D2D">
        <w:rPr>
          <w:b/>
          <w:u w:val="single"/>
        </w:rPr>
        <w:t xml:space="preserve"> a</w:t>
      </w:r>
      <w:r w:rsidR="00E71640" w:rsidRPr="004A6D2B">
        <w:rPr>
          <w:b/>
          <w:u w:val="single"/>
        </w:rPr>
        <w:t xml:space="preserve">nd supports </w:t>
      </w:r>
    </w:p>
    <w:p w14:paraId="731ABC6D" w14:textId="3108AF65" w:rsidR="00241EF1" w:rsidRDefault="00BE074B" w:rsidP="00A92C32">
      <w:r>
        <w:t>We</w:t>
      </w:r>
      <w:r w:rsidR="00AE2B3C">
        <w:t xml:space="preserve"> will </w:t>
      </w:r>
      <w:r w:rsidR="00AE7586">
        <w:t xml:space="preserve">share </w:t>
      </w:r>
      <w:r w:rsidR="00AE2B3C">
        <w:t>resources and</w:t>
      </w:r>
      <w:r w:rsidR="00DA3D2D">
        <w:t xml:space="preserve"> </w:t>
      </w:r>
      <w:r w:rsidR="00AE7586">
        <w:t>provide</w:t>
      </w:r>
      <w:r w:rsidR="00AE2B3C">
        <w:t xml:space="preserve"> learning opportunities</w:t>
      </w:r>
      <w:r w:rsidR="00262090">
        <w:t xml:space="preserve"> though education, support and </w:t>
      </w:r>
      <w:r w:rsidR="00C94BC3">
        <w:t>mentoring for</w:t>
      </w:r>
      <w:r w:rsidR="00AE2B3C">
        <w:t xml:space="preserve"> </w:t>
      </w:r>
      <w:r w:rsidR="00262090">
        <w:t>formal and informal care provide</w:t>
      </w:r>
      <w:r w:rsidR="00202CDF">
        <w:t xml:space="preserve">rs </w:t>
      </w:r>
      <w:r w:rsidR="00203CDE">
        <w:t>a</w:t>
      </w:r>
      <w:r w:rsidR="00202CDF">
        <w:t>cross sector</w:t>
      </w:r>
      <w:r w:rsidR="00203CDE">
        <w:t>s.</w:t>
      </w:r>
      <w:r w:rsidR="00202CDF">
        <w:t xml:space="preserve"> </w:t>
      </w:r>
      <w:r w:rsidR="00262090">
        <w:t xml:space="preserve"> </w:t>
      </w:r>
      <w:r w:rsidR="00C94BC3">
        <w:t>Our work will include the following activities</w:t>
      </w:r>
      <w:r w:rsidR="00DA3D2D">
        <w:t>:</w:t>
      </w:r>
      <w:r w:rsidR="00C94BC3">
        <w:t xml:space="preserve"> </w:t>
      </w:r>
    </w:p>
    <w:p w14:paraId="63BB8D31" w14:textId="77777777" w:rsidR="00D66943" w:rsidRDefault="00BE074B" w:rsidP="0061537E">
      <w:pPr>
        <w:pStyle w:val="ListParagraph"/>
        <w:numPr>
          <w:ilvl w:val="0"/>
          <w:numId w:val="5"/>
        </w:numPr>
      </w:pPr>
      <w:r>
        <w:t>Offering community Hospice and Bereavement services in Orillia including Caregiver Support programs, Community Volunteer Hospice Services, Community Education an</w:t>
      </w:r>
      <w:r w:rsidR="00984480">
        <w:t>d Peer Led Bereavement Supports</w:t>
      </w:r>
      <w:r>
        <w:t xml:space="preserve">  </w:t>
      </w:r>
    </w:p>
    <w:p w14:paraId="2D248AB6" w14:textId="58A2182A" w:rsidR="00D66943" w:rsidRDefault="00373176" w:rsidP="00D66943">
      <w:pPr>
        <w:pStyle w:val="ListParagraph"/>
        <w:numPr>
          <w:ilvl w:val="0"/>
          <w:numId w:val="5"/>
        </w:numPr>
        <w:tabs>
          <w:tab w:val="left" w:pos="426"/>
        </w:tabs>
      </w:pPr>
      <w:r>
        <w:t>Facilitati</w:t>
      </w:r>
      <w:r w:rsidR="007364AD">
        <w:t>ng</w:t>
      </w:r>
      <w:r w:rsidR="000A6E47">
        <w:t xml:space="preserve"> i</w:t>
      </w:r>
      <w:r w:rsidR="00D66943">
        <w:t>ntroductory and advanced</w:t>
      </w:r>
      <w:r>
        <w:t xml:space="preserve"> learning </w:t>
      </w:r>
      <w:r w:rsidR="00D66943">
        <w:t xml:space="preserve">in Palliative Care including </w:t>
      </w:r>
      <w:r>
        <w:t xml:space="preserve">but not limited to </w:t>
      </w:r>
      <w:r w:rsidR="00D66943">
        <w:t xml:space="preserve">Fundamentals, LEAP, </w:t>
      </w:r>
      <w:r w:rsidR="00922C9F">
        <w:t xml:space="preserve">CAPCE, </w:t>
      </w:r>
      <w:r w:rsidR="00D66943">
        <w:t>AC</w:t>
      </w:r>
      <w:r w:rsidR="00750CA0">
        <w:t>E</w:t>
      </w:r>
      <w:r w:rsidR="00DA3D2D">
        <w:t xml:space="preserve"> in concert with the OPCN and RPCN education strategy</w:t>
      </w:r>
    </w:p>
    <w:p w14:paraId="6DEA2FE5" w14:textId="109FD562" w:rsidR="00D66943" w:rsidRDefault="00202CDF" w:rsidP="000A6E47">
      <w:pPr>
        <w:pStyle w:val="ListParagraph"/>
        <w:numPr>
          <w:ilvl w:val="0"/>
          <w:numId w:val="5"/>
        </w:numPr>
        <w:tabs>
          <w:tab w:val="left" w:pos="426"/>
        </w:tabs>
      </w:pPr>
      <w:r>
        <w:t>Provi</w:t>
      </w:r>
      <w:r w:rsidR="000A6E47">
        <w:t>ding</w:t>
      </w:r>
      <w:r>
        <w:t xml:space="preserve"> </w:t>
      </w:r>
      <w:r w:rsidR="00D66943">
        <w:t>workshops</w:t>
      </w:r>
      <w:r>
        <w:t xml:space="preserve">, case base learning </w:t>
      </w:r>
      <w:r w:rsidR="000A6E47">
        <w:t xml:space="preserve">and </w:t>
      </w:r>
      <w:r>
        <w:t>in</w:t>
      </w:r>
      <w:r w:rsidR="000A6E47">
        <w:t>-</w:t>
      </w:r>
      <w:r>
        <w:t>services</w:t>
      </w:r>
      <w:r w:rsidR="00AE7586">
        <w:t>.</w:t>
      </w:r>
      <w:r w:rsidR="00DA3D2D">
        <w:t xml:space="preserve">  </w:t>
      </w:r>
      <w:r w:rsidR="00AE7586">
        <w:t xml:space="preserve">Topics will be </w:t>
      </w:r>
      <w:r w:rsidR="00D66943">
        <w:t xml:space="preserve">identified by </w:t>
      </w:r>
      <w:r w:rsidR="00DA3D2D">
        <w:t xml:space="preserve">RPCN, </w:t>
      </w:r>
      <w:r>
        <w:t>community</w:t>
      </w:r>
      <w:r w:rsidR="00AE7586">
        <w:t xml:space="preserve"> and </w:t>
      </w:r>
      <w:r>
        <w:t>LTC partners</w:t>
      </w:r>
      <w:r w:rsidR="00AE7586">
        <w:t xml:space="preserve"> and </w:t>
      </w:r>
      <w:r w:rsidR="00D66943">
        <w:t xml:space="preserve">relevant to the </w:t>
      </w:r>
      <w:r>
        <w:t xml:space="preserve">current educational needs </w:t>
      </w:r>
    </w:p>
    <w:p w14:paraId="4C3C64D8" w14:textId="5FCAE41B" w:rsidR="004A6D2B" w:rsidRDefault="00D66943" w:rsidP="00D66943">
      <w:pPr>
        <w:pStyle w:val="ListParagraph"/>
        <w:numPr>
          <w:ilvl w:val="0"/>
          <w:numId w:val="5"/>
        </w:numPr>
      </w:pPr>
      <w:r>
        <w:t xml:space="preserve"> </w:t>
      </w:r>
      <w:r w:rsidR="00202CDF">
        <w:t>I</w:t>
      </w:r>
      <w:r>
        <w:t xml:space="preserve">ncreasing the capacity of our health care partners to provide current best practices </w:t>
      </w:r>
      <w:r w:rsidR="00AE7586">
        <w:t>resour</w:t>
      </w:r>
      <w:r w:rsidR="00922C9F">
        <w:t>c</w:t>
      </w:r>
      <w:r w:rsidR="00AE7586">
        <w:t xml:space="preserve">es </w:t>
      </w:r>
      <w:r>
        <w:t xml:space="preserve">in palliative and bereavement care </w:t>
      </w:r>
    </w:p>
    <w:p w14:paraId="7915AAC3" w14:textId="059DCEC8" w:rsidR="00922C9F" w:rsidRDefault="000A3803" w:rsidP="00D66943">
      <w:pPr>
        <w:pStyle w:val="ListParagraph"/>
        <w:numPr>
          <w:ilvl w:val="0"/>
          <w:numId w:val="5"/>
        </w:numPr>
      </w:pPr>
      <w:r>
        <w:t>Staying current on emerging practices in palliative and bereavement care through review of current research and case</w:t>
      </w:r>
      <w:r w:rsidR="00AE7586">
        <w:t xml:space="preserve"> base</w:t>
      </w:r>
      <w:r>
        <w:t xml:space="preserve"> studies </w:t>
      </w:r>
    </w:p>
    <w:p w14:paraId="43F587AA" w14:textId="7A15967D" w:rsidR="000A3803" w:rsidRDefault="00396BE2" w:rsidP="00D66943">
      <w:pPr>
        <w:pStyle w:val="ListParagraph"/>
        <w:numPr>
          <w:ilvl w:val="0"/>
          <w:numId w:val="5"/>
        </w:numPr>
      </w:pPr>
      <w:r>
        <w:t xml:space="preserve">Evaluate </w:t>
      </w:r>
      <w:r w:rsidR="00AE7586">
        <w:t xml:space="preserve">the </w:t>
      </w:r>
      <w:r>
        <w:t xml:space="preserve">effectiveness of current </w:t>
      </w:r>
      <w:r w:rsidR="00AE7586">
        <w:t xml:space="preserve">staff learning opportunities </w:t>
      </w:r>
      <w:r>
        <w:t xml:space="preserve">including </w:t>
      </w:r>
      <w:r w:rsidR="000A3803">
        <w:t>Journal Club and CLI</w:t>
      </w:r>
      <w:r>
        <w:t>P; Identify, and if appropriate, implement opportunities for improvement.</w:t>
      </w:r>
    </w:p>
    <w:p w14:paraId="3D624C64" w14:textId="1330476C" w:rsidR="0061537E" w:rsidRDefault="0061537E" w:rsidP="004A6D2B"/>
    <w:p w14:paraId="73B2A836" w14:textId="7E12284C" w:rsidR="00922C9F" w:rsidRDefault="00922C9F" w:rsidP="004A6D2B"/>
    <w:p w14:paraId="19A0E2D3" w14:textId="77777777" w:rsidR="00922C9F" w:rsidRDefault="00922C9F" w:rsidP="004A6D2B"/>
    <w:p w14:paraId="7F1964AD" w14:textId="77777777" w:rsidR="00B17AAF" w:rsidRPr="00922C9F" w:rsidRDefault="004A6D2B" w:rsidP="00AE2B3C">
      <w:pPr>
        <w:rPr>
          <w:b/>
        </w:rPr>
      </w:pPr>
      <w:r w:rsidRPr="00922C9F">
        <w:rPr>
          <w:b/>
        </w:rPr>
        <w:lastRenderedPageBreak/>
        <w:t xml:space="preserve">Strategy: </w:t>
      </w:r>
      <w:r w:rsidR="00202CDF" w:rsidRPr="00922C9F">
        <w:rPr>
          <w:b/>
        </w:rPr>
        <w:t>Early identification of a palliative approach to care</w:t>
      </w:r>
      <w:r w:rsidR="00B17AAF" w:rsidRPr="00922C9F">
        <w:rPr>
          <w:b/>
        </w:rPr>
        <w:t>:</w:t>
      </w:r>
    </w:p>
    <w:p w14:paraId="0C384493" w14:textId="1E6D338B" w:rsidR="00AE2B3C" w:rsidRDefault="00B17AAF" w:rsidP="00AE2B3C">
      <w:r w:rsidRPr="00922C9F">
        <w:t>We will</w:t>
      </w:r>
      <w:r w:rsidR="00922C9F" w:rsidRPr="00C76D35">
        <w:t xml:space="preserve"> support the highest quality of life </w:t>
      </w:r>
      <w:r w:rsidR="004D0602" w:rsidRPr="00922C9F">
        <w:t>for individuals and families</w:t>
      </w:r>
      <w:r w:rsidR="00014AE1" w:rsidRPr="00922C9F">
        <w:t xml:space="preserve"> along the palliative care trajectory</w:t>
      </w:r>
      <w:r w:rsidR="00202CDF" w:rsidRPr="00922C9F">
        <w:t xml:space="preserve">.  </w:t>
      </w:r>
      <w:r w:rsidR="004D0602" w:rsidRPr="00922C9F">
        <w:t xml:space="preserve"> </w:t>
      </w:r>
      <w:r w:rsidR="00AE2B3C" w:rsidRPr="00922C9F">
        <w:t xml:space="preserve">Our </w:t>
      </w:r>
      <w:r w:rsidR="004D0602" w:rsidRPr="00922C9F">
        <w:t xml:space="preserve">work </w:t>
      </w:r>
      <w:r w:rsidR="00AE2B3C" w:rsidRPr="00922C9F">
        <w:t>will include:</w:t>
      </w:r>
    </w:p>
    <w:p w14:paraId="65AB7B77" w14:textId="77777777" w:rsidR="004D0602" w:rsidRDefault="000A3803" w:rsidP="004A6D2B">
      <w:pPr>
        <w:pStyle w:val="ListParagraph"/>
        <w:numPr>
          <w:ilvl w:val="0"/>
          <w:numId w:val="9"/>
        </w:numPr>
      </w:pPr>
      <w:r>
        <w:t>Educating</w:t>
      </w:r>
      <w:r w:rsidR="004D0602">
        <w:t xml:space="preserve"> primary care providers about the importance of early identification </w:t>
      </w:r>
      <w:r w:rsidR="002E4C28">
        <w:t xml:space="preserve">and best practice in a palliative approach to care </w:t>
      </w:r>
    </w:p>
    <w:p w14:paraId="7EAC69AE" w14:textId="77777777" w:rsidR="0078734C" w:rsidRDefault="0078734C" w:rsidP="004A6D2B">
      <w:pPr>
        <w:pStyle w:val="ListParagraph"/>
        <w:numPr>
          <w:ilvl w:val="0"/>
          <w:numId w:val="9"/>
        </w:numPr>
      </w:pPr>
      <w:r>
        <w:t>Increasing public awareness about the importance of early involvement of palliative care</w:t>
      </w:r>
    </w:p>
    <w:p w14:paraId="375F362B" w14:textId="77777777" w:rsidR="000A3803" w:rsidRDefault="000A3803" w:rsidP="004A6D2B">
      <w:pPr>
        <w:pStyle w:val="ListParagraph"/>
        <w:numPr>
          <w:ilvl w:val="0"/>
          <w:numId w:val="9"/>
        </w:numPr>
      </w:pPr>
      <w:r>
        <w:t>Participati</w:t>
      </w:r>
      <w:r w:rsidR="000A6E47">
        <w:t xml:space="preserve">ng as a member of </w:t>
      </w:r>
      <w:r>
        <w:t>the Provincial ACP champion’s group and implementing provincial initiatives at a local level.</w:t>
      </w:r>
    </w:p>
    <w:p w14:paraId="7B8D6E13" w14:textId="0E25014C" w:rsidR="006B53D9" w:rsidRPr="00ED05C0" w:rsidRDefault="004D0602" w:rsidP="00C76D35">
      <w:pPr>
        <w:pStyle w:val="Heading1"/>
      </w:pPr>
      <w:r>
        <w:br/>
      </w:r>
      <w:bookmarkStart w:id="7" w:name="_Toc482792436"/>
      <w:r w:rsidR="006B53D9" w:rsidRPr="00ED05C0">
        <w:t>Resources to Support the Plan</w:t>
      </w:r>
      <w:bookmarkEnd w:id="7"/>
    </w:p>
    <w:p w14:paraId="0ADE0A4D" w14:textId="01A6F038" w:rsidR="00A915EA" w:rsidRDefault="00A915EA" w:rsidP="00C76D35">
      <w:r>
        <w:t xml:space="preserve">Implementation of the Strategic Plan will undergo further work to refine the deadlines and deliverables for each of the strategies.  </w:t>
      </w:r>
    </w:p>
    <w:p w14:paraId="77FFACF4" w14:textId="77777777" w:rsidR="00A915EA" w:rsidRDefault="00A915EA">
      <w:pPr>
        <w:spacing w:after="0" w:line="240" w:lineRule="auto"/>
      </w:pPr>
    </w:p>
    <w:bookmarkStart w:id="8" w:name="_Toc482792437" w:displacedByCustomXml="next"/>
    <w:sdt>
      <w:sdtPr>
        <w:rPr>
          <w:rFonts w:ascii="Segoe UI Light" w:eastAsiaTheme="minorHAnsi" w:hAnsi="Segoe UI Light" w:cstheme="minorBidi"/>
          <w:color w:val="auto"/>
          <w:sz w:val="22"/>
          <w:szCs w:val="22"/>
        </w:rPr>
        <w:id w:val="1441953771"/>
        <w:docPartObj>
          <w:docPartGallery w:val="Bibliographies"/>
          <w:docPartUnique/>
        </w:docPartObj>
      </w:sdtPr>
      <w:sdtEndPr>
        <w:rPr>
          <w:highlight w:val="yellow"/>
        </w:rPr>
      </w:sdtEndPr>
      <w:sdtContent>
        <w:p w14:paraId="269B1038" w14:textId="77777777" w:rsidR="00A915EA" w:rsidRDefault="00A915EA">
          <w:pPr>
            <w:pStyle w:val="Heading1"/>
          </w:pPr>
          <w:r>
            <w:t>References</w:t>
          </w:r>
          <w:bookmarkEnd w:id="8"/>
        </w:p>
        <w:p w14:paraId="25C9FD67" w14:textId="098B9004" w:rsidR="00A915EA" w:rsidRDefault="00A915EA" w:rsidP="00A915EA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ICA Associates Inc. (2008). </w:t>
          </w:r>
          <w:r w:rsidRPr="001F1FAA">
            <w:rPr>
              <w:i/>
              <w:iCs/>
              <w:noProof/>
            </w:rPr>
            <w:t>Working Assumptions</w:t>
          </w:r>
          <w:r>
            <w:rPr>
              <w:i/>
              <w:iCs/>
              <w:noProof/>
            </w:rPr>
            <w:t xml:space="preserve"> for Groups.</w:t>
          </w:r>
          <w:r>
            <w:rPr>
              <w:noProof/>
            </w:rPr>
            <w:t xml:space="preserve"> Toronto: ICA Associates Inc.</w:t>
          </w:r>
        </w:p>
        <w:p w14:paraId="510B0FB7" w14:textId="77777777" w:rsidR="00A915EA" w:rsidRDefault="00A915EA" w:rsidP="00A915E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Ministry of Health and </w:t>
          </w:r>
          <w:r w:rsidRPr="001F1FAA">
            <w:rPr>
              <w:noProof/>
            </w:rPr>
            <w:t>Long Term</w:t>
          </w:r>
          <w:r>
            <w:rPr>
              <w:noProof/>
            </w:rPr>
            <w:t xml:space="preserve"> Care. (2015). </w:t>
          </w:r>
          <w:r>
            <w:rPr>
              <w:i/>
              <w:iCs/>
              <w:noProof/>
            </w:rPr>
            <w:t>Patients First: A Roadmap to Strengthen Home and Community Care.</w:t>
          </w:r>
          <w:r>
            <w:rPr>
              <w:noProof/>
            </w:rPr>
            <w:t xml:space="preserve"> Toronto: Ontario Government.</w:t>
          </w:r>
        </w:p>
        <w:p w14:paraId="3066BB45" w14:textId="77777777" w:rsidR="00A915EA" w:rsidRDefault="00A915EA" w:rsidP="00A915E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Standfield, R. B. (1997). </w:t>
          </w:r>
          <w:r>
            <w:rPr>
              <w:i/>
              <w:iCs/>
              <w:noProof/>
            </w:rPr>
            <w:t>The Art of Focused Conversation - 100 Ways to Access Group Wisdom in the Workplace.</w:t>
          </w:r>
          <w:r>
            <w:rPr>
              <w:noProof/>
            </w:rPr>
            <w:t xml:space="preserve"> Toronto: The Canadian Institute of Cultural Affairs.</w:t>
          </w:r>
        </w:p>
        <w:p w14:paraId="702B0D19" w14:textId="77777777" w:rsidR="00A915EA" w:rsidRDefault="00A915EA" w:rsidP="00A915E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Stanfield, R. B. (2002). </w:t>
          </w:r>
          <w:r>
            <w:rPr>
              <w:i/>
              <w:iCs/>
              <w:noProof/>
            </w:rPr>
            <w:t>The Workshop Book - from Individual Creativity to Group Action.</w:t>
          </w:r>
          <w:r>
            <w:rPr>
              <w:noProof/>
            </w:rPr>
            <w:t xml:space="preserve"> Toronto: The Canadian Institute of Cultural Affairs.</w:t>
          </w:r>
        </w:p>
        <w:p w14:paraId="3EA2596A" w14:textId="77777777" w:rsidR="00A915EA" w:rsidRDefault="00A915EA" w:rsidP="00A915E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Staples, B. (2013). </w:t>
          </w:r>
          <w:r>
            <w:rPr>
              <w:i/>
              <w:iCs/>
              <w:noProof/>
            </w:rPr>
            <w:t>Transformational Strategy - Facilitation of ToP Participatory Planning.</w:t>
          </w:r>
          <w:r>
            <w:rPr>
              <w:noProof/>
            </w:rPr>
            <w:t xml:space="preserve"> Bloomington, </w:t>
          </w:r>
          <w:r w:rsidRPr="001F1FAA">
            <w:rPr>
              <w:noProof/>
            </w:rPr>
            <w:t>IN:</w:t>
          </w:r>
          <w:r>
            <w:rPr>
              <w:noProof/>
            </w:rPr>
            <w:t xml:space="preserve"> iUniverse.</w:t>
          </w:r>
        </w:p>
        <w:p w14:paraId="285A581C" w14:textId="1A76F622" w:rsidR="00805322" w:rsidRPr="00856469" w:rsidRDefault="00A915EA" w:rsidP="00EA7EF5">
          <w:pPr>
            <w:ind w:left="60"/>
          </w:pPr>
          <w:r>
            <w:rPr>
              <w:b/>
              <w:bCs/>
              <w:noProof/>
            </w:rPr>
            <w:fldChar w:fldCharType="end"/>
          </w:r>
          <w:r w:rsidR="00856469" w:rsidRPr="00856469">
            <w:rPr>
              <w:highlight w:val="yellow"/>
            </w:rPr>
            <w:t xml:space="preserve"> </w:t>
          </w:r>
        </w:p>
      </w:sdtContent>
    </w:sdt>
    <w:p w14:paraId="2CF2F387" w14:textId="77777777" w:rsidR="00217D2B" w:rsidRDefault="00217D2B">
      <w:pPr>
        <w:spacing w:after="0" w:line="240" w:lineRule="auto"/>
        <w:sectPr w:rsidR="00217D2B" w:rsidSect="00A915EA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bookmarkStart w:id="9" w:name="_GoBack"/>
      <w:bookmarkEnd w:id="9"/>
    </w:p>
    <w:p w14:paraId="7F755536" w14:textId="77777777" w:rsidR="00805322" w:rsidRDefault="00805322">
      <w:pPr>
        <w:spacing w:after="0" w:line="240" w:lineRule="auto"/>
      </w:pPr>
    </w:p>
    <w:p w14:paraId="5352EA48" w14:textId="77777777" w:rsidR="00805322" w:rsidRDefault="00805322" w:rsidP="00A915EA">
      <w:pPr>
        <w:pStyle w:val="Heading1"/>
      </w:pPr>
      <w:bookmarkStart w:id="10" w:name="_Toc482792438"/>
      <w:r>
        <w:t>Appendix 1 – Practical Vision Chart</w:t>
      </w:r>
      <w:bookmarkEnd w:id="10"/>
    </w:p>
    <w:p w14:paraId="310194D7" w14:textId="4AF3B94F" w:rsidR="00A92C32" w:rsidRDefault="00805322" w:rsidP="00A92C32">
      <w:r w:rsidRPr="001F1FAA">
        <w:rPr>
          <w:noProof/>
        </w:rPr>
        <w:t xml:space="preserve">What could be accomplished </w:t>
      </w:r>
      <w:r w:rsidRPr="001F1FAA">
        <w:rPr>
          <w:rStyle w:val="FootnoteReference"/>
          <w:noProof/>
        </w:rPr>
        <w:footnoteReference w:id="5"/>
      </w:r>
      <w:r w:rsidRPr="001F1FAA">
        <w:rPr>
          <w:noProof/>
        </w:rPr>
        <w:t xml:space="preserve"> in three years to make the vision a reality</w:t>
      </w:r>
      <w:bookmarkStart w:id="11" w:name="_Hlk480867682"/>
      <w:r w:rsidR="001F1FAA" w:rsidRPr="001F1FAA"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</w:tblGrid>
      <w:tr w:rsidR="004A2D18" w14:paraId="1DB074EF" w14:textId="77777777" w:rsidTr="00EF7CF5"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B7CA42" w14:textId="77777777" w:rsidR="00A92C32" w:rsidRPr="00DF193B" w:rsidRDefault="00A92C32" w:rsidP="00EF7C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193B">
              <w:rPr>
                <w:b/>
                <w:sz w:val="18"/>
                <w:szCs w:val="18"/>
              </w:rPr>
              <w:t>Choice for</w:t>
            </w:r>
            <w:r>
              <w:rPr>
                <w:b/>
                <w:sz w:val="18"/>
                <w:szCs w:val="18"/>
              </w:rPr>
              <w:br/>
            </w:r>
            <w:r w:rsidRPr="00DF193B"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D70AC3" w14:textId="77777777" w:rsidR="00A92C32" w:rsidRPr="00DF193B" w:rsidRDefault="00A92C32" w:rsidP="00EF7C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193B">
              <w:rPr>
                <w:b/>
                <w:sz w:val="18"/>
                <w:szCs w:val="18"/>
              </w:rPr>
              <w:t>Integrated</w:t>
            </w:r>
            <w:r>
              <w:rPr>
                <w:b/>
                <w:sz w:val="18"/>
                <w:szCs w:val="18"/>
              </w:rPr>
              <w:br/>
            </w:r>
            <w:r w:rsidRPr="00DF193B"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9C4AAF1" w14:textId="77777777" w:rsidR="00A92C32" w:rsidRPr="00DF193B" w:rsidRDefault="00A92C32" w:rsidP="00EF7C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193B">
              <w:rPr>
                <w:b/>
                <w:sz w:val="18"/>
                <w:szCs w:val="18"/>
              </w:rPr>
              <w:t>Death Literacy - Dying to Know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DE99B2" w14:textId="0318E265" w:rsidR="00A92C32" w:rsidRPr="00DF193B" w:rsidRDefault="00BE3BD1" w:rsidP="00C76D3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the Network role in the f</w:t>
            </w:r>
            <w:r w:rsidR="004A2D18">
              <w:rPr>
                <w:b/>
                <w:sz w:val="18"/>
                <w:szCs w:val="18"/>
              </w:rPr>
              <w:t>ull spectrum of care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EBB19B4" w14:textId="77777777" w:rsidR="00A92C32" w:rsidRPr="00DF193B" w:rsidRDefault="00A92C32" w:rsidP="00EF7C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F1FAA">
              <w:rPr>
                <w:b/>
                <w:noProof/>
                <w:sz w:val="18"/>
                <w:szCs w:val="18"/>
              </w:rPr>
              <w:t>Early</w:t>
            </w:r>
            <w:r w:rsidRPr="00DF193B">
              <w:rPr>
                <w:b/>
                <w:sz w:val="18"/>
                <w:szCs w:val="18"/>
              </w:rPr>
              <w:t xml:space="preserve"> Care Initiatives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AD5F8A4" w14:textId="77777777" w:rsidR="00A92C32" w:rsidRPr="00DF193B" w:rsidRDefault="00A92C32" w:rsidP="00EF7C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193B">
              <w:rPr>
                <w:b/>
                <w:sz w:val="18"/>
                <w:szCs w:val="18"/>
              </w:rPr>
              <w:t>Mission</w:t>
            </w:r>
            <w:r>
              <w:rPr>
                <w:b/>
                <w:sz w:val="18"/>
                <w:szCs w:val="18"/>
              </w:rPr>
              <w:br/>
            </w:r>
            <w:r w:rsidRPr="00DF193B">
              <w:rPr>
                <w:b/>
                <w:sz w:val="18"/>
                <w:szCs w:val="18"/>
              </w:rPr>
              <w:t>Clarity</w:t>
            </w:r>
          </w:p>
        </w:tc>
      </w:tr>
      <w:tr w:rsidR="004A2D18" w14:paraId="657C5A5A" w14:textId="77777777" w:rsidTr="00EF7CF5">
        <w:tc>
          <w:tcPr>
            <w:tcW w:w="2112" w:type="dxa"/>
            <w:tcBorders>
              <w:top w:val="single" w:sz="18" w:space="0" w:color="auto"/>
            </w:tcBorders>
          </w:tcPr>
          <w:p w14:paraId="1582C7FF" w14:textId="77777777" w:rsidR="00A92C32" w:rsidRPr="00DF193B" w:rsidRDefault="003C7895" w:rsidP="00A639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A2D18">
              <w:rPr>
                <w:sz w:val="18"/>
                <w:szCs w:val="18"/>
              </w:rPr>
              <w:t>nderstand the supports that are available in each sub-</w:t>
            </w:r>
            <w:r w:rsidR="00A63906">
              <w:rPr>
                <w:sz w:val="18"/>
                <w:szCs w:val="18"/>
              </w:rPr>
              <w:t>region</w:t>
            </w:r>
            <w:r w:rsidR="00176D0C">
              <w:rPr>
                <w:sz w:val="18"/>
                <w:szCs w:val="18"/>
              </w:rPr>
              <w:t>; the client experience with the current system</w:t>
            </w:r>
            <w:r w:rsidR="004A2D18">
              <w:rPr>
                <w:sz w:val="18"/>
                <w:szCs w:val="18"/>
              </w:rPr>
              <w:t xml:space="preserve"> and identify ways in which HPC can expand the number of supports available through direct service; participation in system planning activities and advocacy.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14:paraId="78778214" w14:textId="773675C7" w:rsidR="004A2D18" w:rsidRPr="00DF193B" w:rsidRDefault="004A2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Work with communities to ensure that care is integrated between providers and between service systems.  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14:paraId="1BC632E0" w14:textId="77777777" w:rsidR="00A92C32" w:rsidRDefault="004A2D18" w:rsidP="00EF7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death literacy and Advance Care Planning among all populations</w:t>
            </w:r>
          </w:p>
          <w:p w14:paraId="1D9A8DB9" w14:textId="77777777" w:rsidR="00014AE1" w:rsidRPr="00DF193B" w:rsidRDefault="00014AE1" w:rsidP="00EF7C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a palliative approach to care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14:paraId="4D3BBD96" w14:textId="330592BA" w:rsidR="00A92C32" w:rsidRPr="00DF193B" w:rsidRDefault="00BE3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Clarify role of the Nurse Consultants 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14:paraId="07E4F2FF" w14:textId="6E069A11" w:rsidR="00A92C32" w:rsidRPr="00DF193B" w:rsidRDefault="004A2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Promote and educate about the importance of Advance Care Planning; Early </w:t>
            </w:r>
            <w:r w:rsidR="00BE3BD1">
              <w:rPr>
                <w:sz w:val="18"/>
                <w:szCs w:val="18"/>
              </w:rPr>
              <w:t xml:space="preserve">approach to </w:t>
            </w:r>
            <w:r>
              <w:rPr>
                <w:sz w:val="18"/>
                <w:szCs w:val="18"/>
              </w:rPr>
              <w:t xml:space="preserve">Palliative Care  </w:t>
            </w:r>
          </w:p>
        </w:tc>
        <w:tc>
          <w:tcPr>
            <w:tcW w:w="2113" w:type="dxa"/>
            <w:tcBorders>
              <w:top w:val="single" w:sz="18" w:space="0" w:color="auto"/>
            </w:tcBorders>
          </w:tcPr>
          <w:p w14:paraId="511D20B3" w14:textId="6B797591" w:rsidR="002E6F80" w:rsidRPr="00DF193B" w:rsidRDefault="004A2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E6F80">
              <w:rPr>
                <w:sz w:val="18"/>
                <w:szCs w:val="18"/>
              </w:rPr>
              <w:t xml:space="preserve">Clarify the mission vision and values </w:t>
            </w:r>
          </w:p>
        </w:tc>
      </w:tr>
    </w:tbl>
    <w:p w14:paraId="6EA31B0A" w14:textId="77777777" w:rsidR="00A92C32" w:rsidRDefault="00A92C32" w:rsidP="00A92C32"/>
    <w:bookmarkEnd w:id="11"/>
    <w:p w14:paraId="024A9083" w14:textId="77777777" w:rsidR="00892185" w:rsidRDefault="00892185" w:rsidP="00805322">
      <w:pPr>
        <w:sectPr w:rsidR="00892185" w:rsidSect="004A6D2B"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196B03D" w14:textId="7CBD9CF1" w:rsidR="00892185" w:rsidRDefault="00E47C09" w:rsidP="00CB4283">
      <w:pPr>
        <w:pStyle w:val="Heading1"/>
      </w:pPr>
      <w:bookmarkStart w:id="12" w:name="_Toc482792439"/>
      <w:r>
        <w:lastRenderedPageBreak/>
        <w:t>Appendix 2 – Proposed Action Plan for 201</w:t>
      </w:r>
      <w:r w:rsidR="00BE3BD1">
        <w:t>8/19</w:t>
      </w:r>
      <w:bookmarkEnd w:id="12"/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172"/>
        <w:gridCol w:w="2200"/>
        <w:gridCol w:w="2223"/>
        <w:gridCol w:w="2192"/>
        <w:gridCol w:w="1803"/>
        <w:gridCol w:w="3074"/>
      </w:tblGrid>
      <w:tr w:rsidR="0044321E" w14:paraId="372387A2" w14:textId="77777777" w:rsidTr="00927BBD">
        <w:tc>
          <w:tcPr>
            <w:tcW w:w="2210" w:type="dxa"/>
          </w:tcPr>
          <w:p w14:paraId="0CF3B294" w14:textId="77777777" w:rsidR="00892185" w:rsidRPr="005B2E1D" w:rsidRDefault="005B2E1D" w:rsidP="00892185">
            <w:pPr>
              <w:spacing w:line="240" w:lineRule="auto"/>
              <w:rPr>
                <w:b/>
              </w:rPr>
            </w:pPr>
            <w:r w:rsidRPr="005B2E1D">
              <w:rPr>
                <w:b/>
              </w:rPr>
              <w:t>Fiscal 2017/18</w:t>
            </w:r>
          </w:p>
        </w:tc>
        <w:tc>
          <w:tcPr>
            <w:tcW w:w="2238" w:type="dxa"/>
          </w:tcPr>
          <w:p w14:paraId="7C16A03C" w14:textId="77777777" w:rsidR="00892185" w:rsidRPr="00CB4283" w:rsidRDefault="00892185" w:rsidP="00892185">
            <w:pPr>
              <w:spacing w:line="240" w:lineRule="auto"/>
              <w:rPr>
                <w:b/>
              </w:rPr>
            </w:pPr>
            <w:r w:rsidRPr="00CB4283">
              <w:rPr>
                <w:b/>
              </w:rPr>
              <w:t>April – June</w:t>
            </w:r>
          </w:p>
        </w:tc>
        <w:tc>
          <w:tcPr>
            <w:tcW w:w="2244" w:type="dxa"/>
          </w:tcPr>
          <w:p w14:paraId="0B0E0C76" w14:textId="77777777" w:rsidR="00892185" w:rsidRPr="00CB4283" w:rsidRDefault="00892185" w:rsidP="00892185">
            <w:pPr>
              <w:spacing w:line="240" w:lineRule="auto"/>
              <w:rPr>
                <w:b/>
              </w:rPr>
            </w:pPr>
            <w:r w:rsidRPr="00CB4283">
              <w:rPr>
                <w:b/>
              </w:rPr>
              <w:t>July – Sept</w:t>
            </w:r>
          </w:p>
        </w:tc>
        <w:tc>
          <w:tcPr>
            <w:tcW w:w="2232" w:type="dxa"/>
          </w:tcPr>
          <w:p w14:paraId="3500BA00" w14:textId="77777777" w:rsidR="00892185" w:rsidRPr="00CB4283" w:rsidRDefault="00892185" w:rsidP="00892185">
            <w:pPr>
              <w:spacing w:line="240" w:lineRule="auto"/>
              <w:rPr>
                <w:b/>
              </w:rPr>
            </w:pPr>
            <w:r w:rsidRPr="00CB4283">
              <w:rPr>
                <w:b/>
              </w:rPr>
              <w:t>Oct – Dec</w:t>
            </w:r>
          </w:p>
        </w:tc>
        <w:tc>
          <w:tcPr>
            <w:tcW w:w="1825" w:type="dxa"/>
          </w:tcPr>
          <w:p w14:paraId="77EC4F23" w14:textId="77777777" w:rsidR="00892185" w:rsidRPr="00CB4283" w:rsidRDefault="00892185" w:rsidP="00892185">
            <w:pPr>
              <w:spacing w:line="240" w:lineRule="auto"/>
              <w:rPr>
                <w:b/>
              </w:rPr>
            </w:pPr>
            <w:r w:rsidRPr="00CB4283">
              <w:rPr>
                <w:b/>
              </w:rPr>
              <w:t>Jan – March</w:t>
            </w:r>
          </w:p>
        </w:tc>
        <w:tc>
          <w:tcPr>
            <w:tcW w:w="3141" w:type="dxa"/>
          </w:tcPr>
          <w:p w14:paraId="3FA4FA4F" w14:textId="77777777" w:rsidR="00892185" w:rsidRPr="00CB4283" w:rsidRDefault="00892185" w:rsidP="00892185">
            <w:pPr>
              <w:spacing w:line="240" w:lineRule="auto"/>
              <w:rPr>
                <w:b/>
              </w:rPr>
            </w:pPr>
            <w:r w:rsidRPr="00CB4283">
              <w:rPr>
                <w:b/>
              </w:rPr>
              <w:t>End Result</w:t>
            </w:r>
          </w:p>
        </w:tc>
      </w:tr>
      <w:tr w:rsidR="0044321E" w14:paraId="2AE72782" w14:textId="77777777" w:rsidTr="00927BBD">
        <w:tc>
          <w:tcPr>
            <w:tcW w:w="2210" w:type="dxa"/>
          </w:tcPr>
          <w:p w14:paraId="69173102" w14:textId="07873CE7" w:rsidR="00927BBD" w:rsidRPr="00927BBD" w:rsidRDefault="00927BBD" w:rsidP="00CA6205">
            <w:pPr>
              <w:spacing w:line="240" w:lineRule="auto"/>
              <w:rPr>
                <w:sz w:val="20"/>
                <w:szCs w:val="20"/>
              </w:rPr>
            </w:pPr>
            <w:r w:rsidRPr="00927BBD">
              <w:rPr>
                <w:sz w:val="20"/>
                <w:szCs w:val="20"/>
              </w:rPr>
              <w:t>Re</w:t>
            </w:r>
            <w:r w:rsidR="00BE3BD1">
              <w:rPr>
                <w:sz w:val="20"/>
                <w:szCs w:val="20"/>
              </w:rPr>
              <w:t>fresh</w:t>
            </w:r>
            <w:r w:rsidRPr="00927BBD">
              <w:rPr>
                <w:sz w:val="20"/>
                <w:szCs w:val="20"/>
              </w:rPr>
              <w:t xml:space="preserve"> the identity of the organization in the </w:t>
            </w:r>
            <w:r w:rsidR="000A6E47">
              <w:rPr>
                <w:sz w:val="20"/>
                <w:szCs w:val="20"/>
              </w:rPr>
              <w:t xml:space="preserve">  </w:t>
            </w:r>
            <w:r w:rsidR="00540B5F">
              <w:rPr>
                <w:sz w:val="20"/>
                <w:szCs w:val="20"/>
              </w:rPr>
              <w:t>community</w:t>
            </w:r>
          </w:p>
          <w:p w14:paraId="39C00DCB" w14:textId="77777777" w:rsidR="00927BBD" w:rsidRPr="00892185" w:rsidRDefault="00927BBD" w:rsidP="00CA62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36D09C74" w14:textId="2B156312" w:rsidR="00927BBD" w:rsidRPr="00892185" w:rsidRDefault="00BE3BD1" w:rsidP="000A6E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work on 2018-19 work plan</w:t>
            </w:r>
            <w:r w:rsidDel="00BE3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14:paraId="638FF239" w14:textId="387F3C84" w:rsidR="00927BBD" w:rsidRPr="00892185" w:rsidRDefault="00927B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222E3757" w14:textId="5BF2E3DE" w:rsidR="00A63906" w:rsidRPr="00892185" w:rsidRDefault="00A63906" w:rsidP="00CA62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43FCC80F" w14:textId="0D74A102" w:rsidR="00A63906" w:rsidRPr="00892185" w:rsidRDefault="00A639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approve 201</w:t>
            </w:r>
            <w:r w:rsidR="00BE3BD1">
              <w:rPr>
                <w:sz w:val="20"/>
                <w:szCs w:val="20"/>
              </w:rPr>
              <w:t>9/20</w:t>
            </w:r>
            <w:r>
              <w:rPr>
                <w:sz w:val="20"/>
                <w:szCs w:val="20"/>
              </w:rPr>
              <w:t xml:space="preserve"> work plan</w:t>
            </w:r>
          </w:p>
        </w:tc>
        <w:tc>
          <w:tcPr>
            <w:tcW w:w="3141" w:type="dxa"/>
          </w:tcPr>
          <w:p w14:paraId="6642C75D" w14:textId="175CDB76" w:rsidR="00540B5F" w:rsidRPr="00892185" w:rsidRDefault="00BE3BD1" w:rsidP="00540B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will have occurred throughout the year with community partners and Network staff</w:t>
            </w:r>
          </w:p>
        </w:tc>
      </w:tr>
      <w:tr w:rsidR="0044321E" w14:paraId="551B6919" w14:textId="77777777" w:rsidTr="00CA6205">
        <w:tc>
          <w:tcPr>
            <w:tcW w:w="2210" w:type="dxa"/>
          </w:tcPr>
          <w:p w14:paraId="00E36F36" w14:textId="77777777" w:rsidR="00927BBD" w:rsidRPr="00892185" w:rsidRDefault="0078734C" w:rsidP="00C92549">
            <w:pPr>
              <w:spacing w:line="240" w:lineRule="auto"/>
              <w:rPr>
                <w:sz w:val="20"/>
                <w:szCs w:val="20"/>
              </w:rPr>
            </w:pPr>
            <w:r w:rsidRPr="00A63906">
              <w:rPr>
                <w:sz w:val="20"/>
                <w:szCs w:val="20"/>
              </w:rPr>
              <w:t>Clarify and promote the role of the HPC Nurse Consultant:</w:t>
            </w:r>
          </w:p>
        </w:tc>
        <w:tc>
          <w:tcPr>
            <w:tcW w:w="2238" w:type="dxa"/>
          </w:tcPr>
          <w:p w14:paraId="3A314D60" w14:textId="04F449A6" w:rsidR="00BE3BD1" w:rsidRDefault="00BE3BD1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Clinical Manager</w:t>
            </w:r>
          </w:p>
          <w:p w14:paraId="2ABA0C92" w14:textId="6B2842C8" w:rsidR="00BE3BD1" w:rsidRDefault="00BE3BD1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current state</w:t>
            </w:r>
          </w:p>
          <w:p w14:paraId="0296F57C" w14:textId="1DA6875C" w:rsidR="00BE3BD1" w:rsidRDefault="00BE3BD1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 refreshed role of Nurse Consultant </w:t>
            </w:r>
          </w:p>
          <w:p w14:paraId="73CC95D2" w14:textId="6359F411" w:rsidR="0078734C" w:rsidRDefault="0078734C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Internally, agree upon the target audience for 24x7 servi</w:t>
            </w:r>
            <w:r w:rsidR="00BE3BD1">
              <w:rPr>
                <w:sz w:val="20"/>
                <w:szCs w:val="20"/>
              </w:rPr>
              <w:t>ce</w:t>
            </w:r>
          </w:p>
          <w:p w14:paraId="0A9C91D1" w14:textId="77777777" w:rsidR="00927BBD" w:rsidRPr="00892185" w:rsidRDefault="00927BBD" w:rsidP="00CA62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6AABE10C" w14:textId="77777777" w:rsidR="00BE3BD1" w:rsidRDefault="00BE3BD1" w:rsidP="00FC13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 refreshed job specification to internal staff</w:t>
            </w:r>
          </w:p>
          <w:p w14:paraId="3392A5D1" w14:textId="4512392F" w:rsidR="00927BBD" w:rsidRDefault="00BE3BD1" w:rsidP="00FC13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core responsibilities </w:t>
            </w:r>
            <w:r w:rsidR="00C92549">
              <w:rPr>
                <w:sz w:val="20"/>
                <w:szCs w:val="20"/>
              </w:rPr>
              <w:t>of the</w:t>
            </w:r>
            <w:r>
              <w:rPr>
                <w:sz w:val="20"/>
                <w:szCs w:val="20"/>
              </w:rPr>
              <w:t xml:space="preserve"> role of the </w:t>
            </w:r>
            <w:r w:rsidR="00C92549">
              <w:rPr>
                <w:sz w:val="20"/>
                <w:szCs w:val="20"/>
              </w:rPr>
              <w:t xml:space="preserve">HPC Nurse Consultant to partners in each </w:t>
            </w:r>
            <w:r w:rsidR="00FC1336">
              <w:rPr>
                <w:sz w:val="20"/>
                <w:szCs w:val="20"/>
              </w:rPr>
              <w:t>sub</w:t>
            </w:r>
            <w:r>
              <w:rPr>
                <w:sz w:val="20"/>
                <w:szCs w:val="20"/>
              </w:rPr>
              <w:t>-r</w:t>
            </w:r>
            <w:r w:rsidR="00FC1336">
              <w:rPr>
                <w:sz w:val="20"/>
                <w:szCs w:val="20"/>
              </w:rPr>
              <w:t>egion</w:t>
            </w:r>
          </w:p>
          <w:p w14:paraId="1BF000D2" w14:textId="18C878A9" w:rsidR="0078734C" w:rsidRPr="00892185" w:rsidRDefault="0078734C" w:rsidP="00FC1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615C2D1D" w14:textId="77777777" w:rsidR="00927BBD" w:rsidRDefault="00927BBD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implement a framework for gathering information about consumer and stakeholder experience to continually improve the services and information we provide</w:t>
            </w:r>
            <w:r w:rsidR="002825F4">
              <w:rPr>
                <w:sz w:val="20"/>
                <w:szCs w:val="20"/>
              </w:rPr>
              <w:t xml:space="preserve"> </w:t>
            </w:r>
          </w:p>
          <w:p w14:paraId="283B8D8D" w14:textId="5DC9AD7B" w:rsidR="002825F4" w:rsidRPr="00892185" w:rsidRDefault="00BE3B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mechanism to obtain feedback on services </w:t>
            </w:r>
          </w:p>
        </w:tc>
        <w:tc>
          <w:tcPr>
            <w:tcW w:w="1825" w:type="dxa"/>
          </w:tcPr>
          <w:p w14:paraId="0FB20FCD" w14:textId="709E8B2B" w:rsidR="00927BBD" w:rsidRPr="00892185" w:rsidRDefault="00927BBD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consumer and stakeholder feedback to identify common themes and suggested actions.</w:t>
            </w:r>
          </w:p>
        </w:tc>
        <w:tc>
          <w:tcPr>
            <w:tcW w:w="3141" w:type="dxa"/>
          </w:tcPr>
          <w:p w14:paraId="7EFC27D0" w14:textId="1829A57F" w:rsidR="00BE3BD1" w:rsidRDefault="00BE3BD1" w:rsidP="00CA62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will remain current with stakeholder expectations </w:t>
            </w:r>
          </w:p>
          <w:p w14:paraId="25AC112B" w14:textId="25998891" w:rsidR="00927BBD" w:rsidRPr="00892185" w:rsidRDefault="00927BBD" w:rsidP="00CA620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4321E" w:rsidRPr="000D41CE" w14:paraId="0F4431C7" w14:textId="77777777" w:rsidTr="00927BBD">
        <w:tc>
          <w:tcPr>
            <w:tcW w:w="2210" w:type="dxa"/>
          </w:tcPr>
          <w:p w14:paraId="179BD30E" w14:textId="77777777" w:rsidR="006B756E" w:rsidRPr="000D41CE" w:rsidRDefault="00C8695A" w:rsidP="00C869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Model Development</w:t>
            </w:r>
            <w:r w:rsidR="006B756E" w:rsidRPr="000D4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14:paraId="4FFC73F0" w14:textId="6CD345B2" w:rsidR="006B756E" w:rsidRPr="000D41CE" w:rsidRDefault="006B756E" w:rsidP="006B756E">
            <w:pPr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t xml:space="preserve">Create a </w:t>
            </w:r>
            <w:r w:rsidR="0008043D">
              <w:rPr>
                <w:sz w:val="20"/>
                <w:szCs w:val="20"/>
              </w:rPr>
              <w:t>working group (</w:t>
            </w:r>
            <w:r w:rsidR="00C8695A">
              <w:rPr>
                <w:sz w:val="20"/>
                <w:szCs w:val="20"/>
              </w:rPr>
              <w:t xml:space="preserve">staff and community members) </w:t>
            </w:r>
            <w:r w:rsidRPr="000D41CE">
              <w:rPr>
                <w:sz w:val="20"/>
                <w:szCs w:val="20"/>
              </w:rPr>
              <w:t xml:space="preserve">to develop the community </w:t>
            </w:r>
            <w:r w:rsidR="00C8695A">
              <w:rPr>
                <w:sz w:val="20"/>
                <w:szCs w:val="20"/>
              </w:rPr>
              <w:t>engagement</w:t>
            </w:r>
            <w:r w:rsidRPr="000D41CE">
              <w:rPr>
                <w:sz w:val="20"/>
                <w:szCs w:val="20"/>
              </w:rPr>
              <w:t xml:space="preserve"> model</w:t>
            </w:r>
          </w:p>
          <w:p w14:paraId="22F88C57" w14:textId="77777777" w:rsidR="000D41CE" w:rsidRPr="000D41CE" w:rsidRDefault="000D41CE" w:rsidP="006B756E">
            <w:pPr>
              <w:spacing w:line="240" w:lineRule="auto"/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t xml:space="preserve">Participate in Indigenous Cultural Safety training and </w:t>
            </w:r>
            <w:r w:rsidRPr="000D41CE">
              <w:rPr>
                <w:sz w:val="20"/>
                <w:szCs w:val="20"/>
              </w:rPr>
              <w:lastRenderedPageBreak/>
              <w:t xml:space="preserve">discuss how this informs our work with First Nations Populations </w:t>
            </w:r>
            <w:r w:rsidR="00C8695A">
              <w:rPr>
                <w:sz w:val="20"/>
                <w:szCs w:val="20"/>
              </w:rPr>
              <w:t>and other specific communities</w:t>
            </w:r>
          </w:p>
        </w:tc>
        <w:tc>
          <w:tcPr>
            <w:tcW w:w="2244" w:type="dxa"/>
          </w:tcPr>
          <w:p w14:paraId="342CAA64" w14:textId="77777777" w:rsidR="000D41CE" w:rsidRPr="000D41CE" w:rsidRDefault="000D41CE" w:rsidP="000D41CE">
            <w:pPr>
              <w:spacing w:after="0"/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lastRenderedPageBreak/>
              <w:t xml:space="preserve">Identify key </w:t>
            </w:r>
            <w:r w:rsidR="007C04E1">
              <w:rPr>
                <w:sz w:val="20"/>
                <w:szCs w:val="20"/>
              </w:rPr>
              <w:t>principles</w:t>
            </w:r>
            <w:r w:rsidR="007C04E1" w:rsidRPr="000D41CE">
              <w:rPr>
                <w:sz w:val="20"/>
                <w:szCs w:val="20"/>
              </w:rPr>
              <w:t xml:space="preserve"> </w:t>
            </w:r>
            <w:r w:rsidRPr="000D41CE">
              <w:rPr>
                <w:sz w:val="20"/>
                <w:szCs w:val="20"/>
              </w:rPr>
              <w:t xml:space="preserve">of </w:t>
            </w:r>
            <w:r w:rsidR="00C8695A">
              <w:rPr>
                <w:sz w:val="20"/>
                <w:szCs w:val="20"/>
              </w:rPr>
              <w:t>community engagement including (but not limited to)</w:t>
            </w:r>
            <w:r w:rsidRPr="000D41CE">
              <w:rPr>
                <w:sz w:val="20"/>
                <w:szCs w:val="20"/>
              </w:rPr>
              <w:t>:</w:t>
            </w:r>
          </w:p>
          <w:p w14:paraId="30918E6E" w14:textId="77777777" w:rsidR="000D41CE" w:rsidRPr="000D41CE" w:rsidRDefault="000D41CE" w:rsidP="000D41CE">
            <w:pPr>
              <w:pStyle w:val="ListParagraph"/>
              <w:numPr>
                <w:ilvl w:val="0"/>
                <w:numId w:val="13"/>
              </w:numPr>
              <w:spacing w:after="0"/>
              <w:ind w:left="242" w:hanging="201"/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t>Being invited by the community;</w:t>
            </w:r>
          </w:p>
          <w:p w14:paraId="5B11CC1B" w14:textId="77777777" w:rsidR="000D41CE" w:rsidRPr="000D41CE" w:rsidRDefault="000D41CE" w:rsidP="000D41CE">
            <w:pPr>
              <w:pStyle w:val="ListParagraph"/>
              <w:numPr>
                <w:ilvl w:val="0"/>
                <w:numId w:val="13"/>
              </w:numPr>
              <w:spacing w:after="0"/>
              <w:ind w:left="242" w:hanging="201"/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t xml:space="preserve">Listening to the community about </w:t>
            </w:r>
            <w:r w:rsidRPr="000D41CE">
              <w:rPr>
                <w:sz w:val="20"/>
                <w:szCs w:val="20"/>
              </w:rPr>
              <w:lastRenderedPageBreak/>
              <w:t>their needs and preferences</w:t>
            </w:r>
          </w:p>
          <w:p w14:paraId="54CFFFD9" w14:textId="77777777" w:rsidR="000D41CE" w:rsidRPr="000D41CE" w:rsidRDefault="000D41CE" w:rsidP="000D41CE">
            <w:pPr>
              <w:pStyle w:val="ListParagraph"/>
              <w:numPr>
                <w:ilvl w:val="0"/>
                <w:numId w:val="13"/>
              </w:numPr>
              <w:spacing w:after="0"/>
              <w:ind w:left="242" w:hanging="201"/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t xml:space="preserve">Joint implementation and evaluation  </w:t>
            </w:r>
          </w:p>
          <w:p w14:paraId="209D78D6" w14:textId="7705CED2" w:rsidR="006B756E" w:rsidRPr="00C76D35" w:rsidRDefault="006B756E" w:rsidP="00C76D35">
            <w:pPr>
              <w:pStyle w:val="ListParagraph"/>
              <w:numPr>
                <w:ilvl w:val="0"/>
                <w:numId w:val="13"/>
              </w:numPr>
              <w:spacing w:after="0"/>
              <w:ind w:left="204" w:hanging="180"/>
              <w:rPr>
                <w:sz w:val="20"/>
                <w:szCs w:val="20"/>
              </w:rPr>
            </w:pPr>
            <w:r w:rsidRPr="00C76D35">
              <w:rPr>
                <w:sz w:val="20"/>
                <w:szCs w:val="20"/>
              </w:rPr>
              <w:t>Participate in or spearhead ACP day (April 16</w:t>
            </w:r>
            <w:r w:rsidR="0044321E">
              <w:rPr>
                <w:sz w:val="20"/>
                <w:szCs w:val="20"/>
              </w:rPr>
              <w:t>, 2018</w:t>
            </w:r>
            <w:r w:rsidRPr="00C76D35">
              <w:rPr>
                <w:sz w:val="20"/>
                <w:szCs w:val="20"/>
              </w:rPr>
              <w:t xml:space="preserve">) planning </w:t>
            </w:r>
            <w:r w:rsidR="00C8695A" w:rsidRPr="00C76D35">
              <w:rPr>
                <w:sz w:val="20"/>
                <w:szCs w:val="20"/>
              </w:rPr>
              <w:t xml:space="preserve">processes </w:t>
            </w:r>
            <w:r w:rsidRPr="00C76D35">
              <w:rPr>
                <w:sz w:val="20"/>
                <w:szCs w:val="20"/>
              </w:rPr>
              <w:t xml:space="preserve">in each </w:t>
            </w:r>
            <w:r w:rsidR="007C04E1" w:rsidRPr="00C76D35">
              <w:rPr>
                <w:sz w:val="20"/>
                <w:szCs w:val="20"/>
              </w:rPr>
              <w:t xml:space="preserve">sub-region </w:t>
            </w:r>
            <w:r w:rsidR="00C8695A" w:rsidRPr="00C76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14:paraId="077B405E" w14:textId="222D3D8E" w:rsidR="000D41CE" w:rsidRPr="000D41CE" w:rsidRDefault="000D41CE">
            <w:pPr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Prepare a Terms of Reference for </w:t>
            </w:r>
            <w:r w:rsidR="0008043D">
              <w:rPr>
                <w:noProof/>
                <w:sz w:val="20"/>
                <w:szCs w:val="20"/>
              </w:rPr>
              <w:t xml:space="preserve">working group </w:t>
            </w:r>
          </w:p>
        </w:tc>
        <w:tc>
          <w:tcPr>
            <w:tcW w:w="1825" w:type="dxa"/>
          </w:tcPr>
          <w:p w14:paraId="1E611DEF" w14:textId="3C0659C5" w:rsidR="000D41CE" w:rsidRDefault="000D41CE" w:rsidP="000D41CE">
            <w:pPr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Work with </w:t>
            </w:r>
            <w:r w:rsidR="0008043D">
              <w:rPr>
                <w:noProof/>
                <w:sz w:val="20"/>
                <w:szCs w:val="20"/>
              </w:rPr>
              <w:t xml:space="preserve">partners </w:t>
            </w:r>
            <w:r>
              <w:rPr>
                <w:noProof/>
                <w:sz w:val="20"/>
                <w:szCs w:val="20"/>
              </w:rPr>
              <w:t xml:space="preserve">to </w:t>
            </w:r>
            <w:r w:rsidR="0008043D">
              <w:rPr>
                <w:noProof/>
                <w:sz w:val="20"/>
                <w:szCs w:val="20"/>
              </w:rPr>
              <w:t xml:space="preserve">identify supports required to support unique </w:t>
            </w:r>
            <w:r w:rsidR="007C04E1">
              <w:rPr>
                <w:noProof/>
                <w:sz w:val="20"/>
                <w:szCs w:val="20"/>
              </w:rPr>
              <w:t>community</w:t>
            </w:r>
            <w:r w:rsidR="0008043D">
              <w:rPr>
                <w:noProof/>
                <w:sz w:val="20"/>
                <w:szCs w:val="20"/>
              </w:rPr>
              <w:t xml:space="preserve"> needs </w:t>
            </w:r>
          </w:p>
          <w:p w14:paraId="0EC60DC1" w14:textId="77777777" w:rsidR="006B756E" w:rsidRPr="000D41CE" w:rsidRDefault="006B756E" w:rsidP="008921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14:paraId="5F0A53DE" w14:textId="77777777" w:rsidR="000D41CE" w:rsidRDefault="000D41CE" w:rsidP="000D41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Terms of Reference for Community </w:t>
            </w:r>
            <w:r w:rsidR="00A63906">
              <w:rPr>
                <w:sz w:val="20"/>
                <w:szCs w:val="20"/>
              </w:rPr>
              <w:t>Engagement</w:t>
            </w:r>
            <w:r>
              <w:rPr>
                <w:sz w:val="20"/>
                <w:szCs w:val="20"/>
              </w:rPr>
              <w:t xml:space="preserve"> will be available and used upon invitation from a community.</w:t>
            </w:r>
          </w:p>
          <w:p w14:paraId="2A4052AD" w14:textId="5AAE9BD4" w:rsidR="006B756E" w:rsidRDefault="000D41CE" w:rsidP="000D41CE">
            <w:pPr>
              <w:spacing w:line="240" w:lineRule="auto"/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t xml:space="preserve">Each </w:t>
            </w:r>
            <w:r w:rsidR="007C04E1">
              <w:rPr>
                <w:sz w:val="20"/>
                <w:szCs w:val="20"/>
              </w:rPr>
              <w:t>sub-region</w:t>
            </w:r>
            <w:r w:rsidR="007C04E1" w:rsidRPr="000D41CE">
              <w:rPr>
                <w:sz w:val="20"/>
                <w:szCs w:val="20"/>
              </w:rPr>
              <w:t xml:space="preserve"> </w:t>
            </w:r>
            <w:r w:rsidRPr="000D41CE">
              <w:rPr>
                <w:sz w:val="20"/>
                <w:szCs w:val="20"/>
              </w:rPr>
              <w:t>will have a plan for implementation of ACP activities in 2018</w:t>
            </w:r>
            <w:r w:rsidR="00CA591E">
              <w:rPr>
                <w:sz w:val="20"/>
                <w:szCs w:val="20"/>
              </w:rPr>
              <w:t>/19</w:t>
            </w:r>
            <w:r w:rsidRPr="000D41CE">
              <w:rPr>
                <w:sz w:val="20"/>
                <w:szCs w:val="20"/>
              </w:rPr>
              <w:t xml:space="preserve"> </w:t>
            </w:r>
          </w:p>
          <w:p w14:paraId="00B08753" w14:textId="77777777" w:rsidR="000D41CE" w:rsidRPr="000D41CE" w:rsidRDefault="000D41CE" w:rsidP="000D41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100 % of staff will have Indigenous Cultural Safety Training</w:t>
            </w:r>
          </w:p>
        </w:tc>
      </w:tr>
      <w:tr w:rsidR="0044321E" w14:paraId="17EB1D43" w14:textId="77777777" w:rsidTr="00927BBD">
        <w:tc>
          <w:tcPr>
            <w:tcW w:w="2210" w:type="dxa"/>
          </w:tcPr>
          <w:p w14:paraId="463662BB" w14:textId="77777777" w:rsidR="006B756E" w:rsidRPr="00892185" w:rsidRDefault="00C8695A" w:rsidP="002825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Providing Education and Support</w:t>
            </w:r>
          </w:p>
        </w:tc>
        <w:tc>
          <w:tcPr>
            <w:tcW w:w="2238" w:type="dxa"/>
          </w:tcPr>
          <w:p w14:paraId="2F767132" w14:textId="77777777" w:rsidR="006B756E" w:rsidRDefault="006B756E" w:rsidP="00162A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 Caregiver Group in Orillia (Hospice Orillia)</w:t>
            </w:r>
          </w:p>
          <w:p w14:paraId="6DE15172" w14:textId="70793F32" w:rsidR="006B756E" w:rsidRDefault="00A63906" w:rsidP="002825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schedule of </w:t>
            </w:r>
            <w:r w:rsidR="0044321E">
              <w:rPr>
                <w:sz w:val="20"/>
                <w:szCs w:val="20"/>
              </w:rPr>
              <w:t xml:space="preserve">regional </w:t>
            </w:r>
            <w:r>
              <w:rPr>
                <w:sz w:val="20"/>
                <w:szCs w:val="20"/>
              </w:rPr>
              <w:t>education</w:t>
            </w:r>
            <w:r w:rsidR="0044321E">
              <w:rPr>
                <w:sz w:val="20"/>
                <w:szCs w:val="20"/>
              </w:rPr>
              <w:t xml:space="preserve">al </w:t>
            </w:r>
            <w:r>
              <w:rPr>
                <w:sz w:val="20"/>
                <w:szCs w:val="20"/>
              </w:rPr>
              <w:t xml:space="preserve">opportunities that extends to </w:t>
            </w:r>
            <w:r w:rsidR="0044321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arch 31, 201</w:t>
            </w:r>
            <w:r w:rsidR="004432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 </w:t>
            </w:r>
          </w:p>
          <w:p w14:paraId="7653A245" w14:textId="4F8609DD" w:rsidR="006B756E" w:rsidRPr="00892185" w:rsidRDefault="006B756E" w:rsidP="00C869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018517A6" w14:textId="77777777" w:rsidR="006B756E" w:rsidRDefault="006B756E" w:rsidP="002825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Caregiver group and refine plans (Hospice Orillia)</w:t>
            </w:r>
          </w:p>
          <w:p w14:paraId="69E8E20A" w14:textId="64354404" w:rsidR="006B756E" w:rsidRDefault="006B756E" w:rsidP="002825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promote educational opportunities until June 30, 201</w:t>
            </w:r>
            <w:r w:rsidR="0044321E">
              <w:rPr>
                <w:sz w:val="20"/>
                <w:szCs w:val="20"/>
              </w:rPr>
              <w:t>9</w:t>
            </w:r>
          </w:p>
          <w:p w14:paraId="26349651" w14:textId="2DF038F1" w:rsidR="006B756E" w:rsidRPr="00892185" w:rsidRDefault="006B75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learning priorities for Health Care professionals and develop </w:t>
            </w:r>
            <w:r w:rsidR="0044321E">
              <w:rPr>
                <w:sz w:val="20"/>
                <w:szCs w:val="20"/>
              </w:rPr>
              <w:t>educational presentations</w:t>
            </w:r>
          </w:p>
        </w:tc>
        <w:tc>
          <w:tcPr>
            <w:tcW w:w="2232" w:type="dxa"/>
          </w:tcPr>
          <w:p w14:paraId="6228AF3F" w14:textId="2BF93A81" w:rsidR="006B756E" w:rsidRPr="00892185" w:rsidRDefault="006B75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promote educational opportunities until Sep</w:t>
            </w:r>
            <w:r w:rsidR="0044321E">
              <w:rPr>
                <w:sz w:val="20"/>
                <w:szCs w:val="20"/>
              </w:rPr>
              <w:t>tember</w:t>
            </w:r>
            <w:r>
              <w:rPr>
                <w:sz w:val="20"/>
                <w:szCs w:val="20"/>
              </w:rPr>
              <w:t xml:space="preserve"> 30, 201</w:t>
            </w:r>
            <w:r w:rsidR="0044321E">
              <w:rPr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14:paraId="71FF6516" w14:textId="77777777" w:rsidR="006B756E" w:rsidRDefault="006B756E" w:rsidP="008921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training opportunities for family providers</w:t>
            </w:r>
          </w:p>
          <w:p w14:paraId="6DD5F6F9" w14:textId="04E01C99" w:rsidR="006B756E" w:rsidRDefault="006B756E" w:rsidP="008921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promote educational opportunities until Dec 31, 201</w:t>
            </w:r>
            <w:r w:rsidR="0044321E">
              <w:rPr>
                <w:sz w:val="20"/>
                <w:szCs w:val="20"/>
              </w:rPr>
              <w:t>9</w:t>
            </w:r>
          </w:p>
          <w:p w14:paraId="4470A392" w14:textId="6E492174" w:rsidR="006B756E" w:rsidRPr="00892185" w:rsidRDefault="006B75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education plan and budget for 201</w:t>
            </w:r>
            <w:r w:rsidR="0044321E">
              <w:rPr>
                <w:sz w:val="20"/>
                <w:szCs w:val="20"/>
              </w:rPr>
              <w:t>9/2020</w:t>
            </w:r>
          </w:p>
        </w:tc>
        <w:tc>
          <w:tcPr>
            <w:tcW w:w="3141" w:type="dxa"/>
          </w:tcPr>
          <w:p w14:paraId="303FEE48" w14:textId="77777777" w:rsidR="006B756E" w:rsidRPr="004A1AA5" w:rsidRDefault="006B756E" w:rsidP="004A1AA5">
            <w:pPr>
              <w:spacing w:line="240" w:lineRule="auto"/>
              <w:rPr>
                <w:sz w:val="20"/>
                <w:szCs w:val="20"/>
              </w:rPr>
            </w:pPr>
            <w:r w:rsidRPr="004A1AA5">
              <w:rPr>
                <w:sz w:val="20"/>
                <w:szCs w:val="20"/>
              </w:rPr>
              <w:t>Caregiver group is pilot tested and a plan exists for future</w:t>
            </w:r>
            <w:r w:rsidR="00C8695A">
              <w:rPr>
                <w:sz w:val="20"/>
                <w:szCs w:val="20"/>
              </w:rPr>
              <w:t xml:space="preserve"> groups</w:t>
            </w:r>
          </w:p>
          <w:p w14:paraId="1C47B8C9" w14:textId="2A43F27B" w:rsidR="006B756E" w:rsidRPr="004A1AA5" w:rsidRDefault="006B756E" w:rsidP="004A1A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providers consistently have access to course offerings for</w:t>
            </w:r>
            <w:r w:rsidR="0044321E">
              <w:rPr>
                <w:sz w:val="20"/>
                <w:szCs w:val="20"/>
              </w:rPr>
              <w:t xml:space="preserve"> the annual calendar of educational events </w:t>
            </w:r>
          </w:p>
          <w:p w14:paraId="2A18E3E2" w14:textId="4B93ABC6" w:rsidR="006B756E" w:rsidRPr="00892185" w:rsidRDefault="006B756E">
            <w:pPr>
              <w:spacing w:line="240" w:lineRule="auto"/>
            </w:pPr>
            <w:r>
              <w:rPr>
                <w:sz w:val="20"/>
                <w:szCs w:val="20"/>
              </w:rPr>
              <w:t>An education plan and budget has been prepared for 201</w:t>
            </w:r>
            <w:r w:rsidR="0044321E">
              <w:rPr>
                <w:sz w:val="20"/>
                <w:szCs w:val="20"/>
              </w:rPr>
              <w:t>9/2020</w:t>
            </w:r>
          </w:p>
        </w:tc>
      </w:tr>
      <w:tr w:rsidR="0044321E" w14:paraId="770019E7" w14:textId="77777777" w:rsidTr="006F2F19">
        <w:tc>
          <w:tcPr>
            <w:tcW w:w="2210" w:type="dxa"/>
          </w:tcPr>
          <w:p w14:paraId="31CE43BF" w14:textId="77777777" w:rsidR="00005EF3" w:rsidRDefault="00005EF3" w:rsidP="002825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Identification of a Palliative Approach to Care</w:t>
            </w:r>
          </w:p>
        </w:tc>
        <w:tc>
          <w:tcPr>
            <w:tcW w:w="2238" w:type="dxa"/>
          </w:tcPr>
          <w:p w14:paraId="5109B6E6" w14:textId="3DC3E61F" w:rsidR="00005EF3" w:rsidRPr="000D41CE" w:rsidRDefault="00215011" w:rsidP="00C869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005EF3" w:rsidRPr="000D41CE">
              <w:rPr>
                <w:sz w:val="20"/>
                <w:szCs w:val="20"/>
              </w:rPr>
              <w:t>opportunities to include ACP component</w:t>
            </w:r>
            <w:r w:rsidR="00005EF3">
              <w:rPr>
                <w:sz w:val="20"/>
                <w:szCs w:val="20"/>
              </w:rPr>
              <w:t xml:space="preserve"> and information about the benefit of Early Identification of a Palliative Approach to Care</w:t>
            </w:r>
            <w:r w:rsidR="00005EF3" w:rsidRPr="000D41CE">
              <w:rPr>
                <w:sz w:val="20"/>
                <w:szCs w:val="20"/>
              </w:rPr>
              <w:t xml:space="preserve"> in other educational forums</w:t>
            </w:r>
          </w:p>
          <w:p w14:paraId="7CBA7E73" w14:textId="77777777" w:rsidR="00005EF3" w:rsidRPr="000D41CE" w:rsidRDefault="00005EF3" w:rsidP="00C8695A">
            <w:pPr>
              <w:rPr>
                <w:sz w:val="20"/>
                <w:szCs w:val="20"/>
              </w:rPr>
            </w:pPr>
            <w:r w:rsidRPr="000D41CE">
              <w:rPr>
                <w:sz w:val="20"/>
                <w:szCs w:val="20"/>
              </w:rPr>
              <w:lastRenderedPageBreak/>
              <w:t xml:space="preserve">Participate in Provincial Advance Care Planning (ACP) Champions working group </w:t>
            </w:r>
            <w:r>
              <w:rPr>
                <w:sz w:val="20"/>
                <w:szCs w:val="20"/>
              </w:rPr>
              <w:t>implement provincial practices locally</w:t>
            </w:r>
          </w:p>
          <w:p w14:paraId="19920D5F" w14:textId="77777777" w:rsidR="00005EF3" w:rsidRDefault="00005EF3" w:rsidP="00162A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1" w:type="dxa"/>
            <w:gridSpan w:val="3"/>
          </w:tcPr>
          <w:p w14:paraId="1317B847" w14:textId="77777777" w:rsidR="00ED05C0" w:rsidRDefault="00005EF3" w:rsidP="008921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Ensure that ACP and Early Identification</w:t>
            </w:r>
            <w:r w:rsidR="00ED05C0">
              <w:rPr>
                <w:sz w:val="20"/>
                <w:szCs w:val="20"/>
              </w:rPr>
              <w:t xml:space="preserve"> are on the Nursing and Hospice team agendas each month including current information related to ACP Champions working Group and identification of opportunities for local implementation.</w:t>
            </w:r>
          </w:p>
        </w:tc>
        <w:tc>
          <w:tcPr>
            <w:tcW w:w="3141" w:type="dxa"/>
          </w:tcPr>
          <w:p w14:paraId="10052934" w14:textId="77777777" w:rsidR="00005EF3" w:rsidRDefault="00005EF3" w:rsidP="004A1A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list of venues where ACP and Early Identification of a Palliative Approach to Care were offered</w:t>
            </w:r>
          </w:p>
          <w:p w14:paraId="310A6637" w14:textId="2B051F99" w:rsidR="00215011" w:rsidRPr="004A1AA5" w:rsidRDefault="00005E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list of provincially identified best practices in ACP will be available with information about which have been adopted and the outcomes.</w:t>
            </w:r>
            <w:r w:rsidR="00215011">
              <w:rPr>
                <w:sz w:val="20"/>
                <w:szCs w:val="20"/>
              </w:rPr>
              <w:t xml:space="preserve">  (RPCN role)</w:t>
            </w:r>
          </w:p>
        </w:tc>
      </w:tr>
    </w:tbl>
    <w:p w14:paraId="59EEAF86" w14:textId="77777777" w:rsidR="00892185" w:rsidRPr="00DC1069" w:rsidRDefault="002825F4" w:rsidP="00805322">
      <w:r>
        <w:lastRenderedPageBreak/>
        <w:t xml:space="preserve"> </w:t>
      </w:r>
    </w:p>
    <w:sectPr w:rsidR="00892185" w:rsidRPr="00DC1069" w:rsidSect="008921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8E878" w14:textId="77777777" w:rsidR="0069555C" w:rsidRDefault="0069555C" w:rsidP="00805322">
      <w:pPr>
        <w:spacing w:after="0" w:line="240" w:lineRule="auto"/>
      </w:pPr>
      <w:r>
        <w:separator/>
      </w:r>
    </w:p>
  </w:endnote>
  <w:endnote w:type="continuationSeparator" w:id="0">
    <w:p w14:paraId="05782DBD" w14:textId="77777777" w:rsidR="0069555C" w:rsidRDefault="0069555C" w:rsidP="0080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FC9B" w14:textId="7414A685" w:rsidR="006B7244" w:rsidRDefault="0069555C" w:rsidP="00C76D35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 w:cstheme="minorHAnsi"/>
      </w:rPr>
    </w:pPr>
    <w:sdt>
      <w:sdtPr>
        <w:id w:val="-18300469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B7244">
          <w:fldChar w:fldCharType="begin"/>
        </w:r>
        <w:r w:rsidR="006B7244">
          <w:instrText xml:space="preserve"> PAGE   \* MERGEFORMAT </w:instrText>
        </w:r>
        <w:r w:rsidR="006B7244">
          <w:fldChar w:fldCharType="separate"/>
        </w:r>
        <w:r w:rsidR="00DE2DA1">
          <w:rPr>
            <w:noProof/>
          </w:rPr>
          <w:t>6</w:t>
        </w:r>
        <w:r w:rsidR="006B7244">
          <w:rPr>
            <w:noProof/>
          </w:rPr>
          <w:fldChar w:fldCharType="end"/>
        </w:r>
        <w:r w:rsidR="006B7244">
          <w:t xml:space="preserve"> | </w:t>
        </w:r>
        <w:r w:rsidR="006B7244">
          <w:rPr>
            <w:color w:val="7F7F7F" w:themeColor="background1" w:themeShade="7F"/>
            <w:spacing w:val="60"/>
          </w:rPr>
          <w:t>Page</w:t>
        </w:r>
      </w:sdtContent>
    </w:sdt>
  </w:p>
  <w:p w14:paraId="0F3E8AF2" w14:textId="77777777" w:rsidR="006B7244" w:rsidRDefault="006B7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631C" w14:textId="691F0674" w:rsidR="006B7244" w:rsidRDefault="006B7244">
    <w:pPr>
      <w:pStyle w:val="Footer"/>
    </w:pPr>
    <w:r>
      <w:rPr>
        <w:rFonts w:asciiTheme="minorHAnsi" w:hAnsiTheme="minorHAnsi" w:cstheme="minorHAnsi"/>
      </w:rPr>
      <w:t>April 27, 2018</w:t>
    </w:r>
  </w:p>
  <w:p w14:paraId="18DC020A" w14:textId="77777777" w:rsidR="006B7244" w:rsidRDefault="006B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3A41" w14:textId="77777777" w:rsidR="0069555C" w:rsidRDefault="0069555C" w:rsidP="00805322">
      <w:pPr>
        <w:spacing w:after="0" w:line="240" w:lineRule="auto"/>
      </w:pPr>
      <w:r>
        <w:separator/>
      </w:r>
    </w:p>
  </w:footnote>
  <w:footnote w:type="continuationSeparator" w:id="0">
    <w:p w14:paraId="14B945EF" w14:textId="77777777" w:rsidR="0069555C" w:rsidRDefault="0069555C" w:rsidP="00805322">
      <w:pPr>
        <w:spacing w:after="0" w:line="240" w:lineRule="auto"/>
      </w:pPr>
      <w:r>
        <w:continuationSeparator/>
      </w:r>
    </w:p>
  </w:footnote>
  <w:footnote w:id="1">
    <w:p w14:paraId="6700A1F4" w14:textId="77777777" w:rsidR="006B7244" w:rsidRPr="00757305" w:rsidRDefault="006B7244" w:rsidP="00B4522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Approved by the Board of Directors – March 6, 2017</w:t>
      </w:r>
    </w:p>
  </w:footnote>
  <w:footnote w:id="2">
    <w:p w14:paraId="0CDC6B2B" w14:textId="77777777" w:rsidR="006B7244" w:rsidRPr="00BD43D1" w:rsidRDefault="006B7244" w:rsidP="00B4522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Approved by the Board of Directors – March 6, 2017</w:t>
      </w:r>
    </w:p>
  </w:footnote>
  <w:footnote w:id="3">
    <w:p w14:paraId="5D38E986" w14:textId="77777777" w:rsidR="006B7244" w:rsidRPr="00892185" w:rsidRDefault="006B7244" w:rsidP="00B4522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Practical Vision Chart – Appendix 1 – Developed by Staff as part of the planning process.</w:t>
      </w:r>
    </w:p>
  </w:footnote>
  <w:footnote w:id="4">
    <w:p w14:paraId="78EAE1DA" w14:textId="77777777" w:rsidR="006B7244" w:rsidRPr="00757305" w:rsidRDefault="006B7244" w:rsidP="0080532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Approved by the Board of Directors – March 6, 2017</w:t>
      </w:r>
    </w:p>
  </w:footnote>
  <w:footnote w:id="5">
    <w:p w14:paraId="65E75D4E" w14:textId="7FB10776" w:rsidR="006B7244" w:rsidRPr="004E2139" w:rsidRDefault="006B7244" w:rsidP="00805322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7733" w14:textId="10297DBD" w:rsidR="006B7244" w:rsidRPr="00805322" w:rsidRDefault="006B7244" w:rsidP="00805322">
    <w:pPr>
      <w:rPr>
        <w:b/>
      </w:rPr>
    </w:pPr>
    <w:r>
      <w:rPr>
        <w:b/>
      </w:rPr>
      <w:t xml:space="preserve">NSMHPCN – Strategic Plan </w:t>
    </w:r>
    <w:r>
      <w:rPr>
        <w:b/>
      </w:rPr>
      <w:br/>
    </w:r>
    <w:r w:rsidR="0069555C">
      <w:rPr>
        <w:b/>
      </w:rPr>
      <w:pict w14:anchorId="296C9006">
        <v:rect id="_x0000_i1025" style="width:468pt;height:1.5pt" o:hralign="center" o:hrstd="t" o:hrnoshade="t" o:hr="t" fillcolor="#d34817 [32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9C2"/>
    <w:multiLevelType w:val="hybridMultilevel"/>
    <w:tmpl w:val="18D401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EB026F5"/>
    <w:multiLevelType w:val="hybridMultilevel"/>
    <w:tmpl w:val="92147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B88"/>
    <w:multiLevelType w:val="hybridMultilevel"/>
    <w:tmpl w:val="F7980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10C6"/>
    <w:multiLevelType w:val="hybridMultilevel"/>
    <w:tmpl w:val="38266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66C"/>
    <w:multiLevelType w:val="hybridMultilevel"/>
    <w:tmpl w:val="F954D03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953E83"/>
    <w:multiLevelType w:val="hybridMultilevel"/>
    <w:tmpl w:val="14766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17E9"/>
    <w:multiLevelType w:val="hybridMultilevel"/>
    <w:tmpl w:val="DAD4767E"/>
    <w:lvl w:ilvl="0" w:tplc="6234FCD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65CBF"/>
    <w:multiLevelType w:val="hybridMultilevel"/>
    <w:tmpl w:val="452E55FC"/>
    <w:lvl w:ilvl="0" w:tplc="95BCC75A">
      <w:start w:val="1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C2ECE"/>
    <w:multiLevelType w:val="hybridMultilevel"/>
    <w:tmpl w:val="A51EEBCE"/>
    <w:lvl w:ilvl="0" w:tplc="E3A6DDD4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7D13"/>
    <w:multiLevelType w:val="hybridMultilevel"/>
    <w:tmpl w:val="5150E4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633F4"/>
    <w:multiLevelType w:val="hybridMultilevel"/>
    <w:tmpl w:val="B5421A9C"/>
    <w:lvl w:ilvl="0" w:tplc="D842FB56">
      <w:start w:val="1"/>
      <w:numFmt w:val="bullet"/>
      <w:lvlText w:val="-"/>
      <w:lvlJc w:val="left"/>
      <w:pPr>
        <w:ind w:left="420" w:hanging="360"/>
      </w:pPr>
      <w:rPr>
        <w:rFonts w:ascii="Segoe UI Light" w:eastAsiaTheme="minorHAnsi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623AA3"/>
    <w:multiLevelType w:val="hybridMultilevel"/>
    <w:tmpl w:val="B2F63F9A"/>
    <w:lvl w:ilvl="0" w:tplc="48C287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70F29"/>
    <w:multiLevelType w:val="hybridMultilevel"/>
    <w:tmpl w:val="83409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D4D"/>
    <w:multiLevelType w:val="hybridMultilevel"/>
    <w:tmpl w:val="B6A8CE5A"/>
    <w:lvl w:ilvl="0" w:tplc="31366AB2">
      <w:start w:val="1"/>
      <w:numFmt w:val="bullet"/>
      <w:lvlText w:val="-"/>
      <w:lvlJc w:val="left"/>
      <w:pPr>
        <w:ind w:left="-9" w:hanging="150"/>
      </w:pPr>
      <w:rPr>
        <w:rFonts w:ascii="Segoe UI Light" w:eastAsiaTheme="minorHAnsi" w:hAnsi="Segoe U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4" w15:restartNumberingAfterBreak="0">
    <w:nsid w:val="7FDF525A"/>
    <w:multiLevelType w:val="hybridMultilevel"/>
    <w:tmpl w:val="37029A1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DexNLC0tDCwMLFU0lEKTi0uzszPAykwqgUAsiMltSwAAAA="/>
  </w:docVars>
  <w:rsids>
    <w:rsidRoot w:val="00342D02"/>
    <w:rsid w:val="00005EF3"/>
    <w:rsid w:val="0000675F"/>
    <w:rsid w:val="00014AE1"/>
    <w:rsid w:val="00021C82"/>
    <w:rsid w:val="000238EE"/>
    <w:rsid w:val="00042BCC"/>
    <w:rsid w:val="000648A4"/>
    <w:rsid w:val="0008043D"/>
    <w:rsid w:val="000A3803"/>
    <w:rsid w:val="000A6E47"/>
    <w:rsid w:val="000B71E5"/>
    <w:rsid w:val="000D41CE"/>
    <w:rsid w:val="000E7574"/>
    <w:rsid w:val="001160C5"/>
    <w:rsid w:val="00162A38"/>
    <w:rsid w:val="00176D0C"/>
    <w:rsid w:val="00181D14"/>
    <w:rsid w:val="001869DC"/>
    <w:rsid w:val="00191519"/>
    <w:rsid w:val="001B78B4"/>
    <w:rsid w:val="001D13AE"/>
    <w:rsid w:val="001E12FF"/>
    <w:rsid w:val="001F1FAA"/>
    <w:rsid w:val="00202CDF"/>
    <w:rsid w:val="00203CDE"/>
    <w:rsid w:val="00215011"/>
    <w:rsid w:val="00217D2B"/>
    <w:rsid w:val="00230E7F"/>
    <w:rsid w:val="00241EF1"/>
    <w:rsid w:val="00262090"/>
    <w:rsid w:val="00275566"/>
    <w:rsid w:val="00276971"/>
    <w:rsid w:val="002825F4"/>
    <w:rsid w:val="00296D8F"/>
    <w:rsid w:val="002B22A9"/>
    <w:rsid w:val="002C08E3"/>
    <w:rsid w:val="002D25A6"/>
    <w:rsid w:val="002D53C2"/>
    <w:rsid w:val="002E4C28"/>
    <w:rsid w:val="002E6F80"/>
    <w:rsid w:val="002F4564"/>
    <w:rsid w:val="002F4FBD"/>
    <w:rsid w:val="003135B3"/>
    <w:rsid w:val="00317DC5"/>
    <w:rsid w:val="00325803"/>
    <w:rsid w:val="0033609A"/>
    <w:rsid w:val="00342D02"/>
    <w:rsid w:val="00373176"/>
    <w:rsid w:val="00373AD4"/>
    <w:rsid w:val="00396BE2"/>
    <w:rsid w:val="003B7AB1"/>
    <w:rsid w:val="003C7895"/>
    <w:rsid w:val="00413B96"/>
    <w:rsid w:val="004414B1"/>
    <w:rsid w:val="0044321E"/>
    <w:rsid w:val="00487B4B"/>
    <w:rsid w:val="004A1AA5"/>
    <w:rsid w:val="004A2D18"/>
    <w:rsid w:val="004A4120"/>
    <w:rsid w:val="004A6D2B"/>
    <w:rsid w:val="004D0602"/>
    <w:rsid w:val="00531DEB"/>
    <w:rsid w:val="00540B5F"/>
    <w:rsid w:val="005B2E1D"/>
    <w:rsid w:val="0061537E"/>
    <w:rsid w:val="006237A8"/>
    <w:rsid w:val="00640C52"/>
    <w:rsid w:val="00642577"/>
    <w:rsid w:val="00645058"/>
    <w:rsid w:val="00645A1B"/>
    <w:rsid w:val="00645C5C"/>
    <w:rsid w:val="00651858"/>
    <w:rsid w:val="0069555C"/>
    <w:rsid w:val="006B53D9"/>
    <w:rsid w:val="006B7244"/>
    <w:rsid w:val="006B756E"/>
    <w:rsid w:val="006C4BBA"/>
    <w:rsid w:val="006C4DFD"/>
    <w:rsid w:val="006C5110"/>
    <w:rsid w:val="006F2F19"/>
    <w:rsid w:val="0070006B"/>
    <w:rsid w:val="007364AD"/>
    <w:rsid w:val="00750CA0"/>
    <w:rsid w:val="00764284"/>
    <w:rsid w:val="007844A8"/>
    <w:rsid w:val="0078734C"/>
    <w:rsid w:val="00791968"/>
    <w:rsid w:val="007C04E1"/>
    <w:rsid w:val="007D7472"/>
    <w:rsid w:val="00805322"/>
    <w:rsid w:val="008160AB"/>
    <w:rsid w:val="00856469"/>
    <w:rsid w:val="00890628"/>
    <w:rsid w:val="00892185"/>
    <w:rsid w:val="00922C9F"/>
    <w:rsid w:val="00927BBD"/>
    <w:rsid w:val="00934BE7"/>
    <w:rsid w:val="0098071D"/>
    <w:rsid w:val="00984480"/>
    <w:rsid w:val="009A126C"/>
    <w:rsid w:val="009A2795"/>
    <w:rsid w:val="009A28AA"/>
    <w:rsid w:val="009B0309"/>
    <w:rsid w:val="009D0401"/>
    <w:rsid w:val="009F1B5F"/>
    <w:rsid w:val="00A03958"/>
    <w:rsid w:val="00A51331"/>
    <w:rsid w:val="00A63906"/>
    <w:rsid w:val="00A64997"/>
    <w:rsid w:val="00A867F0"/>
    <w:rsid w:val="00A915EA"/>
    <w:rsid w:val="00A92C32"/>
    <w:rsid w:val="00AE2B3C"/>
    <w:rsid w:val="00AE5ACB"/>
    <w:rsid w:val="00AE7586"/>
    <w:rsid w:val="00B17AAF"/>
    <w:rsid w:val="00B3167E"/>
    <w:rsid w:val="00B4522C"/>
    <w:rsid w:val="00B47B0C"/>
    <w:rsid w:val="00BA6491"/>
    <w:rsid w:val="00BB28E1"/>
    <w:rsid w:val="00BB2CF2"/>
    <w:rsid w:val="00BE074B"/>
    <w:rsid w:val="00BE3BD1"/>
    <w:rsid w:val="00C4701F"/>
    <w:rsid w:val="00C533E9"/>
    <w:rsid w:val="00C62EAC"/>
    <w:rsid w:val="00C76D35"/>
    <w:rsid w:val="00C8695A"/>
    <w:rsid w:val="00C87D8F"/>
    <w:rsid w:val="00C92549"/>
    <w:rsid w:val="00C94BC3"/>
    <w:rsid w:val="00CA1155"/>
    <w:rsid w:val="00CA591E"/>
    <w:rsid w:val="00CA597F"/>
    <w:rsid w:val="00CA6205"/>
    <w:rsid w:val="00CA7AB1"/>
    <w:rsid w:val="00CB343E"/>
    <w:rsid w:val="00CB4283"/>
    <w:rsid w:val="00CC525F"/>
    <w:rsid w:val="00CD6733"/>
    <w:rsid w:val="00CE1924"/>
    <w:rsid w:val="00D4233B"/>
    <w:rsid w:val="00D4295B"/>
    <w:rsid w:val="00D51E7B"/>
    <w:rsid w:val="00D6198B"/>
    <w:rsid w:val="00D66943"/>
    <w:rsid w:val="00DA3D2D"/>
    <w:rsid w:val="00DE2DA1"/>
    <w:rsid w:val="00DE653C"/>
    <w:rsid w:val="00E2309D"/>
    <w:rsid w:val="00E25D87"/>
    <w:rsid w:val="00E365CA"/>
    <w:rsid w:val="00E44019"/>
    <w:rsid w:val="00E47C09"/>
    <w:rsid w:val="00E53C68"/>
    <w:rsid w:val="00E56BA6"/>
    <w:rsid w:val="00E71640"/>
    <w:rsid w:val="00EA7EF5"/>
    <w:rsid w:val="00EC19DA"/>
    <w:rsid w:val="00EC4988"/>
    <w:rsid w:val="00ED05C0"/>
    <w:rsid w:val="00EE440A"/>
    <w:rsid w:val="00EF7CF5"/>
    <w:rsid w:val="00F23884"/>
    <w:rsid w:val="00F351D2"/>
    <w:rsid w:val="00F92E5D"/>
    <w:rsid w:val="00FA681D"/>
    <w:rsid w:val="00FB51CC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C7605"/>
  <w15:docId w15:val="{6B707ACB-3D60-442D-9D18-93C1546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22"/>
    <w:pPr>
      <w:spacing w:after="200" w:line="276" w:lineRule="auto"/>
    </w:pPr>
    <w:rPr>
      <w:rFonts w:ascii="Segoe UI Light" w:hAnsi="Segoe UI Light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B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1B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1B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1B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5F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B5F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B5F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B5F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F1B5F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F1B5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1B5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F1B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F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F1B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B5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1B5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1B5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F1B5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1B5F"/>
    <w:rPr>
      <w:i/>
      <w:iCs/>
      <w:color w:val="D34817" w:themeColor="accent1"/>
    </w:rPr>
  </w:style>
  <w:style w:type="character" w:styleId="Strong">
    <w:name w:val="Strong"/>
    <w:basedOn w:val="DefaultParagraphFont"/>
    <w:uiPriority w:val="22"/>
    <w:qFormat/>
    <w:rsid w:val="009F1B5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F1B5F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1B5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5F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5F"/>
    <w:rPr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9F1B5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F1B5F"/>
    <w:rPr>
      <w:b/>
      <w:bCs/>
      <w:smallCaps/>
      <w:color w:val="D3481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F1B5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F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6A9A9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F1B5F"/>
    <w:rPr>
      <w:i/>
      <w:iCs/>
      <w:color w:val="696464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22"/>
    <w:rPr>
      <w:rFonts w:ascii="Segoe UI Light" w:hAnsi="Segoe UI Light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22"/>
    <w:rPr>
      <w:rFonts w:ascii="Segoe UI Light" w:hAnsi="Segoe UI Light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32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322"/>
    <w:rPr>
      <w:rFonts w:ascii="Segoe UI Light" w:hAnsi="Segoe U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322"/>
    <w:rPr>
      <w:vertAlign w:val="superscript"/>
    </w:rPr>
  </w:style>
  <w:style w:type="table" w:styleId="TableGrid">
    <w:name w:val="Table Grid"/>
    <w:basedOn w:val="TableNormal"/>
    <w:uiPriority w:val="59"/>
    <w:rsid w:val="0080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640"/>
    <w:pPr>
      <w:spacing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16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640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A915E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15EA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A915EA"/>
  </w:style>
  <w:style w:type="paragraph" w:styleId="BalloonText">
    <w:name w:val="Balloon Text"/>
    <w:basedOn w:val="Normal"/>
    <w:link w:val="BalloonTextChar"/>
    <w:uiPriority w:val="99"/>
    <w:semiHidden/>
    <w:unhideWhenUsed/>
    <w:rsid w:val="00E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88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C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988"/>
    <w:rPr>
      <w:rFonts w:ascii="Segoe UI Light" w:hAnsi="Segoe UI Light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988"/>
    <w:rPr>
      <w:rFonts w:ascii="Segoe UI Light" w:hAnsi="Segoe UI Light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%20Min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DCGi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Strategic Plan Summary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Min15</b:Tag>
    <b:SourceType>Report</b:SourceType>
    <b:Guid>{28C2E5E0-6218-47EB-B5C0-748F82B39225}</b:Guid>
    <b:Author>
      <b:Author>
        <b:Corporate>Ministry of Health and Long Term Care</b:Corporate>
      </b:Author>
    </b:Author>
    <b:Title>Patients First: A Roadmap to Strengthen Home and Community Care</b:Title>
    <b:Year>2015</b:Year>
    <b:Publisher>Ontario Government</b:Publisher>
    <b:City>Toronto</b:City>
    <b:RefOrder>1</b:RefOrder>
  </b:Source>
  <b:Source>
    <b:Tag>Sta97</b:Tag>
    <b:SourceType>Book</b:SourceType>
    <b:Guid>{B1911D28-A896-4625-95AC-E0A95B8AD192}</b:Guid>
    <b:Title>The Art of Focused Conversation - 100 Ways to Access Group Wisdom in the Workplace</b:Title>
    <b:Year>1997</b:Year>
    <b:City>Toronto</b:City>
    <b:Publisher>The Canadian Institute of Cultural Affairs</b:Publisher>
    <b:Author>
      <b:Author>
        <b:NameList>
          <b:Person>
            <b:Last>Standfield</b:Last>
            <b:Middle>Brian</b:Middle>
            <b:First>R</b:First>
          </b:Person>
        </b:NameList>
      </b:Author>
    </b:Author>
    <b:RefOrder>2</b:RefOrder>
  </b:Source>
  <b:Source>
    <b:Tag>Sta02</b:Tag>
    <b:SourceType>Book</b:SourceType>
    <b:Guid>{6899D6F1-B9D6-4564-9F34-B4439E95B861}</b:Guid>
    <b:Title>The Workshop Book - from Individual Creativity to Group Action</b:Title>
    <b:Year>2002</b:Year>
    <b:City>Toronto</b:City>
    <b:Publisher>The Canadian Institute of Cultural Affairs</b:Publisher>
    <b:Author>
      <b:Author>
        <b:NameList>
          <b:Person>
            <b:Last>Stanfield</b:Last>
            <b:Middle>Brian</b:Middle>
            <b:First>R.</b:First>
          </b:Person>
        </b:NameList>
      </b:Author>
    </b:Author>
    <b:RefOrder>3</b:RefOrder>
  </b:Source>
  <b:Source>
    <b:Tag>Sta13</b:Tag>
    <b:SourceType>Book</b:SourceType>
    <b:Guid>{EC468EA9-8F7F-44C6-A29B-E680E71BBB7B}</b:Guid>
    <b:Title>Transformational Strategy - Facilitation of ToP Participatory Planning</b:Title>
    <b:Year>2013</b:Year>
    <b:Publisher>iUniverse</b:Publisher>
    <b:City>Bloomington, IN</b:City>
    <b:Author>
      <b:Author>
        <b:NameList>
          <b:Person>
            <b:Last>Staples</b:Last>
            <b:First>Bill</b:First>
          </b:Person>
        </b:NameList>
      </b:Author>
    </b:Author>
    <b:RefOrder>4</b:RefOrder>
  </b:Source>
  <b:Source>
    <b:Tag>ICA08</b:Tag>
    <b:SourceType>Report</b:SourceType>
    <b:Guid>{53AC36C3-C4E1-44BD-8AFE-9D752C11884B}</b:Guid>
    <b:Author>
      <b:Author>
        <b:Corporate>ICA Associates Inc.</b:Corporate>
      </b:Author>
    </b:Author>
    <b:Title>Working Assumptions for Groups</b:Title>
    <b:Year>2008</b:Year>
    <b:Publisher>ICA Associates Inc.</b:Publisher>
    <b:City>Toronto</b:City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39845-4F71-499B-B552-5C093DB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59</TotalTime>
  <Pages>11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 NSM – Your Palliative Care Experts</vt:lpstr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NSMHPCN – Strategic Plan</dc:title>
  <dc:subject>Strategic Plan 2018-2020</dc:subject>
  <dc:creator>HPC</dc:creator>
  <cp:lastModifiedBy>Whitney Vowels</cp:lastModifiedBy>
  <cp:revision>18</cp:revision>
  <cp:lastPrinted>2017-05-08T19:34:00Z</cp:lastPrinted>
  <dcterms:created xsi:type="dcterms:W3CDTF">2018-04-27T16:24:00Z</dcterms:created>
  <dcterms:modified xsi:type="dcterms:W3CDTF">2018-05-25T01:30:00Z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